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1C103">
      <w:pPr>
        <w:jc w:val="center"/>
      </w:pPr>
      <w:r>
        <w:rPr>
          <w:b/>
          <w:color w:val="1F4E79"/>
          <w:sz w:val="48"/>
        </w:rPr>
        <w:t>Water Immersion Sensor</w:t>
      </w:r>
    </w:p>
    <w:p w14:paraId="337E7693">
      <w:pPr>
        <w:jc w:val="center"/>
      </w:pPr>
      <w:r>
        <w:rPr>
          <w:i/>
          <w:color w:val="404040"/>
          <w:sz w:val="28"/>
        </w:rPr>
        <w:t>(Wang-shaped Enclosure, 485 Type)</w:t>
      </w:r>
    </w:p>
    <w:p w14:paraId="7B223E8D"/>
    <w:p w14:paraId="45DC95C4">
      <w:pPr>
        <w:pStyle w:val="3"/>
      </w:pPr>
      <w:r>
        <w:t>Table of Contents</w:t>
      </w:r>
    </w:p>
    <w:p w14:paraId="0489E315">
      <w:pPr>
        <w:spacing w:after="40"/>
      </w:pPr>
      <w:r>
        <w:t>Chapter 1  Product Introduction ......................................................... 4</w:t>
      </w:r>
    </w:p>
    <w:p w14:paraId="087522CB">
      <w:pPr>
        <w:spacing w:after="40"/>
      </w:pPr>
      <w:r>
        <w:t xml:space="preserve">    1.1 Product Overview</w:t>
      </w:r>
    </w:p>
    <w:p w14:paraId="27268103">
      <w:pPr>
        <w:spacing w:after="40"/>
      </w:pPr>
      <w:r>
        <w:t xml:space="preserve">    1.2 Features</w:t>
      </w:r>
    </w:p>
    <w:p w14:paraId="20D258D8">
      <w:pPr>
        <w:spacing w:after="40"/>
      </w:pPr>
      <w:r>
        <w:t xml:space="preserve">    1.3 Main Parameters</w:t>
      </w:r>
    </w:p>
    <w:p w14:paraId="2EA75891">
      <w:pPr>
        <w:spacing w:after="40"/>
      </w:pPr>
      <w:r>
        <w:t xml:space="preserve">    1.4 System Block Diagram</w:t>
      </w:r>
    </w:p>
    <w:p w14:paraId="76DCE8B1">
      <w:pPr>
        <w:spacing w:after="40"/>
      </w:pPr>
      <w:r>
        <w:t xml:space="preserve">    1.5 Product Selection</w:t>
      </w:r>
    </w:p>
    <w:p w14:paraId="7F582513">
      <w:pPr>
        <w:spacing w:after="40"/>
      </w:pPr>
      <w:r>
        <w:t>Chapter 2  Hardware Connection .......................................................... 7</w:t>
      </w:r>
    </w:p>
    <w:p w14:paraId="124ED877">
      <w:pPr>
        <w:spacing w:after="40"/>
      </w:pPr>
      <w:r>
        <w:t xml:space="preserve">    2.1 Pre-installation Inspection</w:t>
      </w:r>
    </w:p>
    <w:p w14:paraId="4E0FDFC6">
      <w:pPr>
        <w:spacing w:after="40"/>
      </w:pPr>
      <w:r>
        <w:t xml:space="preserve">    2.2 Wiring</w:t>
      </w:r>
    </w:p>
    <w:p w14:paraId="51EAC875">
      <w:pPr>
        <w:spacing w:after="40"/>
      </w:pPr>
      <w:r>
        <w:t xml:space="preserve">    2.3 Installation Method</w:t>
      </w:r>
    </w:p>
    <w:p w14:paraId="7E619088">
      <w:pPr>
        <w:spacing w:after="40"/>
      </w:pPr>
      <w:r>
        <w:t xml:space="preserve">    2.4 Use of the Water Leak Cable</w:t>
      </w:r>
    </w:p>
    <w:p w14:paraId="6000ABD8">
      <w:pPr>
        <w:spacing w:after="40"/>
      </w:pPr>
      <w:r>
        <w:t>Chapter 3  Configuration Software Installation and Use ..................... 9</w:t>
      </w:r>
    </w:p>
    <w:p w14:paraId="18FC566C">
      <w:pPr>
        <w:spacing w:after="40"/>
      </w:pPr>
      <w:r>
        <w:t xml:space="preserve">    3.1 Connecting the Sensor to a Computer</w:t>
      </w:r>
    </w:p>
    <w:p w14:paraId="517A6E78">
      <w:pPr>
        <w:spacing w:after="40"/>
      </w:pPr>
      <w:r>
        <w:t xml:space="preserve">    3.2 Using the Sensor Monitoring Software</w:t>
      </w:r>
    </w:p>
    <w:p w14:paraId="19894C28">
      <w:pPr>
        <w:spacing w:after="40"/>
      </w:pPr>
      <w:r>
        <w:t>Chapter 4  Communication Protocol ........................................................ 10</w:t>
      </w:r>
    </w:p>
    <w:p w14:paraId="7A52D170">
      <w:pPr>
        <w:spacing w:after="40"/>
      </w:pPr>
      <w:r>
        <w:t xml:space="preserve">    4.1 Basic Communication Parameters</w:t>
      </w:r>
    </w:p>
    <w:p w14:paraId="5EC8A717">
      <w:pPr>
        <w:spacing w:after="40"/>
      </w:pPr>
      <w:r>
        <w:t xml:space="preserve">    4.2 Data Frame Format Definition</w:t>
      </w:r>
    </w:p>
    <w:p w14:paraId="28C3ECC1">
      <w:pPr>
        <w:spacing w:after="40"/>
      </w:pPr>
      <w:r>
        <w:t xml:space="preserve">    4.3 Register Addresses</w:t>
      </w:r>
    </w:p>
    <w:p w14:paraId="140C7508">
      <w:pPr>
        <w:spacing w:after="40"/>
      </w:pPr>
      <w:r>
        <w:t xml:space="preserve">    4.4 Communication Protocol Examples and Explanations</w:t>
      </w:r>
    </w:p>
    <w:p w14:paraId="0001BFE1">
      <w:pPr>
        <w:spacing w:after="40"/>
      </w:pPr>
      <w:r>
        <w:t>Chapter 5  FAQ and Troubleshooting ..................................................... 12</w:t>
      </w:r>
    </w:p>
    <w:p w14:paraId="7950577C">
      <w:pPr>
        <w:spacing w:after="40"/>
      </w:pPr>
      <w:r>
        <w:t>Chapter 6  Precautions ............................................................................ 12</w:t>
      </w:r>
    </w:p>
    <w:p w14:paraId="368C70D3">
      <w:pPr>
        <w:spacing w:after="40"/>
      </w:pPr>
      <w:r>
        <w:t>Chapter 7  Warranty ............................................................................... 12</w:t>
      </w:r>
    </w:p>
    <w:p w14:paraId="5BBB9661">
      <w:r>
        <w:br w:type="page"/>
      </w:r>
    </w:p>
    <w:p w14:paraId="13FDA66C">
      <w:pPr>
        <w:pStyle w:val="3"/>
      </w:pPr>
      <w:r>
        <w:t>Chapter 1  Product Introduction</w:t>
      </w:r>
    </w:p>
    <w:p w14:paraId="45E74258">
      <w:pPr>
        <w:pStyle w:val="4"/>
      </w:pPr>
      <w:r>
        <w:t>1.1 Product Overview</w:t>
      </w:r>
    </w:p>
    <w:p w14:paraId="61EF7695">
      <w:pPr>
        <w:spacing w:after="120"/>
      </w:pPr>
      <w:r>
        <w:rPr>
          <w:b w:val="0"/>
          <w:i w:val="0"/>
        </w:rPr>
        <w:t>This water immersion sensor is widely used in telecommunication base stations, hotels, restaurants, equipment rooms, libraries, archives, warehouses, equipment, cabinets, and other locations that require water-accumulation alarms. It adopts a proprietary AC detection technology, which effectively avoids the reduction in leak-detection sensitivity caused by long-term oxidation of the immersion electrodes. The device offers optional 485 output and switch-contact (dry-contact) output. The 485 output complies with the standard ModBus-RTU protocol, with a maximum communication distance of 2000 m, and can be directly connected to on-site PLCs, industrial control instruments, configuration screens, or configuration software. The external water-leak electrode can extend up to 2600 m, and a water-leak cable up to 2600 m long can also be connected externally. The device uses a waterproof enclosure with a high ingress-protection rating and can operate for extended periods in harsh environments such as damp or high-dust conditions.</w:t>
      </w:r>
    </w:p>
    <w:p w14:paraId="71A9ABA2">
      <w:pPr>
        <w:pStyle w:val="4"/>
      </w:pPr>
      <w:r>
        <w:t>1.2 Features</w:t>
      </w:r>
    </w:p>
    <w:p w14:paraId="6432C2B3">
      <w:pPr>
        <w:spacing w:after="120"/>
      </w:pPr>
      <w:r>
        <w:rPr>
          <w:b w:val="0"/>
          <w:i w:val="0"/>
        </w:rPr>
        <w:t>Our company uses alternating current to measure the inductive parameters of accumulated water, accurately determining whether water immersion has occurred, and can even distinguish pure water from tap water (tap water is the default detection target; please specify if pure water is to be detected). Because alternating-current detection is used, the electrodes will not suffer electrophoretic polarization even after prolonged immersion, and no special electrodes are required, achieving long service life and reliable detection.</w:t>
      </w:r>
    </w:p>
    <w:p w14:paraId="463C60C1">
      <w:pPr>
        <w:pStyle w:val="4"/>
      </w:pPr>
      <w:r>
        <w:t>1.3 Main Parameters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2"/>
        <w:gridCol w:w="5694"/>
      </w:tblGrid>
      <w:tr w14:paraId="3DFD6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shd w:val="clear" w:color="auto" w:fill="1F4E79"/>
          </w:tcPr>
          <w:p w14:paraId="57764D9A">
            <w:pPr>
              <w:spacing w:after="0" w:line="240" w:lineRule="auto"/>
            </w:pPr>
            <w:r>
              <w:rPr>
                <w:b/>
                <w:color w:val="FFFFFF"/>
                <w:sz w:val="20"/>
              </w:rPr>
              <w:t>Item</w:t>
            </w:r>
          </w:p>
        </w:tc>
        <w:tc>
          <w:tcPr>
            <w:tcW w:w="6048" w:type="dxa"/>
            <w:shd w:val="clear" w:color="auto" w:fill="1F4E79"/>
          </w:tcPr>
          <w:p w14:paraId="093FF94D">
            <w:pPr>
              <w:spacing w:after="0" w:line="240" w:lineRule="auto"/>
            </w:pPr>
            <w:r>
              <w:rPr>
                <w:b/>
                <w:color w:val="FFFFFF"/>
                <w:sz w:val="20"/>
              </w:rPr>
              <w:t>Specification</w:t>
            </w:r>
          </w:p>
        </w:tc>
      </w:tr>
      <w:tr w14:paraId="3F8E4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Pr>
          <w:p w14:paraId="7B0D4A80">
            <w:pPr>
              <w:spacing w:after="0" w:line="240" w:lineRule="auto"/>
            </w:pPr>
            <w:r>
              <w:rPr>
                <w:sz w:val="20"/>
              </w:rPr>
              <w:t>Supply voltage</w:t>
            </w:r>
          </w:p>
        </w:tc>
        <w:tc>
          <w:tcPr>
            <w:tcW w:w="6048" w:type="dxa"/>
          </w:tcPr>
          <w:p w14:paraId="7777B582">
            <w:pPr>
              <w:spacing w:after="0" w:line="240" w:lineRule="auto"/>
            </w:pPr>
            <w:r>
              <w:rPr>
                <w:sz w:val="20"/>
              </w:rPr>
              <w:t>DC 10–30 V</w:t>
            </w:r>
          </w:p>
        </w:tc>
      </w:tr>
      <w:tr w14:paraId="50A4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Pr>
          <w:p w14:paraId="74EAE3E0">
            <w:pPr>
              <w:spacing w:after="0" w:line="240" w:lineRule="auto"/>
            </w:pPr>
            <w:r>
              <w:rPr>
                <w:sz w:val="20"/>
              </w:rPr>
              <w:t>Maximum power consumption</w:t>
            </w:r>
          </w:p>
        </w:tc>
        <w:tc>
          <w:tcPr>
            <w:tcW w:w="6048" w:type="dxa"/>
          </w:tcPr>
          <w:p w14:paraId="087A5000">
            <w:pPr>
              <w:spacing w:after="0" w:line="240" w:lineRule="auto"/>
            </w:pPr>
            <w:r>
              <w:rPr>
                <w:sz w:val="20"/>
              </w:rPr>
              <w:t>Relay output: 1.2 W    |    RS485 output: 0.4 W</w:t>
            </w:r>
          </w:p>
        </w:tc>
      </w:tr>
      <w:tr w14:paraId="19EB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Pr>
          <w:p w14:paraId="24CACB3D">
            <w:pPr>
              <w:spacing w:after="0" w:line="240" w:lineRule="auto"/>
            </w:pPr>
            <w:r>
              <w:rPr>
                <w:sz w:val="20"/>
              </w:rPr>
              <w:t>Detection target</w:t>
            </w:r>
          </w:p>
        </w:tc>
        <w:tc>
          <w:tcPr>
            <w:tcW w:w="6048" w:type="dxa"/>
          </w:tcPr>
          <w:p w14:paraId="1A5C12D7">
            <w:pPr>
              <w:spacing w:after="0" w:line="240" w:lineRule="auto"/>
            </w:pPr>
            <w:r>
              <w:rPr>
                <w:sz w:val="20"/>
              </w:rPr>
              <w:t>Tap water, pure water</w:t>
            </w:r>
          </w:p>
        </w:tc>
      </w:tr>
      <w:tr w14:paraId="55A3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Pr>
          <w:p w14:paraId="76CF0365">
            <w:pPr>
              <w:spacing w:after="0" w:line="240" w:lineRule="auto"/>
            </w:pPr>
            <w:r>
              <w:rPr>
                <w:sz w:val="20"/>
              </w:rPr>
              <w:t>Transmitter circuit operating temperature</w:t>
            </w:r>
          </w:p>
        </w:tc>
        <w:tc>
          <w:tcPr>
            <w:tcW w:w="6048" w:type="dxa"/>
          </w:tcPr>
          <w:p w14:paraId="40030C30">
            <w:pPr>
              <w:spacing w:after="0" w:line="240" w:lineRule="auto"/>
            </w:pPr>
            <w:r>
              <w:rPr>
                <w:sz w:val="20"/>
              </w:rPr>
              <w:t>-20 °C ~ +60 °C, 0% RH ~ 80% RH</w:t>
            </w:r>
          </w:p>
        </w:tc>
      </w:tr>
      <w:tr w14:paraId="4FC8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Pr>
          <w:p w14:paraId="68D370BF">
            <w:pPr>
              <w:spacing w:after="0" w:line="240" w:lineRule="auto"/>
            </w:pPr>
            <w:r>
              <w:rPr>
                <w:sz w:val="20"/>
              </w:rPr>
              <w:t>Output signal</w:t>
            </w:r>
          </w:p>
        </w:tc>
        <w:tc>
          <w:tcPr>
            <w:tcW w:w="6048" w:type="dxa"/>
          </w:tcPr>
          <w:p w14:paraId="0BA5B3D6">
            <w:pPr>
              <w:spacing w:after="0" w:line="240" w:lineRule="auto"/>
            </w:pPr>
            <w:r>
              <w:rPr>
                <w:sz w:val="20"/>
              </w:rPr>
              <w:t>Relay output: normally-open contact</w:t>
            </w:r>
          </w:p>
        </w:tc>
      </w:tr>
      <w:tr w14:paraId="27F8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Pr>
          <w:p w14:paraId="519E2F1D">
            <w:pPr>
              <w:spacing w:after="0" w:line="240" w:lineRule="auto"/>
            </w:pPr>
          </w:p>
        </w:tc>
        <w:tc>
          <w:tcPr>
            <w:tcW w:w="6048" w:type="dxa"/>
          </w:tcPr>
          <w:p w14:paraId="75F1E29C">
            <w:pPr>
              <w:spacing w:after="0" w:line="240" w:lineRule="auto"/>
            </w:pPr>
            <w:r>
              <w:rPr>
                <w:sz w:val="20"/>
              </w:rPr>
              <w:t>RS485 output: RS485 (ModBus protocol)</w:t>
            </w:r>
          </w:p>
        </w:tc>
      </w:tr>
      <w:tr w14:paraId="2D1DC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Pr>
          <w:p w14:paraId="39825D22">
            <w:pPr>
              <w:spacing w:after="0" w:line="240" w:lineRule="auto"/>
            </w:pPr>
          </w:p>
        </w:tc>
        <w:tc>
          <w:tcPr>
            <w:tcW w:w="6048" w:type="dxa"/>
          </w:tcPr>
          <w:p w14:paraId="08B11AC5">
            <w:pPr>
              <w:spacing w:after="0" w:line="240" w:lineRule="auto"/>
            </w:pPr>
            <w:r>
              <w:rPr>
                <w:sz w:val="20"/>
              </w:rPr>
              <w:t>RS485 + relay output: RS485 (ModBus protocol) + normally-open contact</w:t>
            </w:r>
          </w:p>
        </w:tc>
      </w:tr>
      <w:tr w14:paraId="089F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12" w:type="dxa"/>
          </w:tcPr>
          <w:p w14:paraId="4B56668A">
            <w:pPr>
              <w:spacing w:after="0" w:line="240" w:lineRule="auto"/>
            </w:pPr>
            <w:r>
              <w:rPr>
                <w:sz w:val="20"/>
              </w:rPr>
              <w:t>Wang-shaped enclosure dimensions</w:t>
            </w:r>
          </w:p>
        </w:tc>
        <w:tc>
          <w:tcPr>
            <w:tcW w:w="6048" w:type="dxa"/>
          </w:tcPr>
          <w:p w14:paraId="7A343A39">
            <w:pPr>
              <w:spacing w:after="0" w:line="240" w:lineRule="auto"/>
            </w:pPr>
            <w:r>
              <w:rPr>
                <w:sz w:val="20"/>
              </w:rPr>
              <w:t>117 × 87 × 43 mm (Max)</w:t>
            </w:r>
          </w:p>
        </w:tc>
      </w:tr>
    </w:tbl>
    <w:p w14:paraId="1321320E">
      <w:pPr>
        <w:pStyle w:val="4"/>
        <w:jc w:val="center"/>
      </w:pPr>
      <w:r>
        <w:rPr>
          <w:rFonts w:hint="eastAsia" w:eastAsia="宋体"/>
          <w:lang w:eastAsia="zh-CN"/>
        </w:rPr>
        <w:drawing>
          <wp:inline distT="0" distB="0" distL="114300" distR="114300">
            <wp:extent cx="3841115" cy="2498725"/>
            <wp:effectExtent l="0" t="0" r="6985" b="3175"/>
            <wp:docPr id="1" name="图片 1" descr="12 117-8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2 117-87-43"/>
                    <pic:cNvPicPr>
                      <a:picLocks noChangeAspect="1"/>
                    </pic:cNvPicPr>
                  </pic:nvPicPr>
                  <pic:blipFill>
                    <a:blip r:embed="rId6"/>
                    <a:srcRect l="6226" t="3995" r="7790" b="2979"/>
                    <a:stretch>
                      <a:fillRect/>
                    </a:stretch>
                  </pic:blipFill>
                  <pic:spPr>
                    <a:xfrm>
                      <a:off x="0" y="0"/>
                      <a:ext cx="3841115" cy="2498725"/>
                    </a:xfrm>
                    <a:prstGeom prst="rect">
                      <a:avLst/>
                    </a:prstGeom>
                    <a:noFill/>
                    <a:ln>
                      <a:noFill/>
                    </a:ln>
                  </pic:spPr>
                </pic:pic>
              </a:graphicData>
            </a:graphic>
          </wp:inline>
        </w:drawing>
      </w:r>
    </w:p>
    <w:p w14:paraId="4491F0CF">
      <w:pPr>
        <w:pStyle w:val="4"/>
      </w:pPr>
      <w:r>
        <w:t>1.4 System Block Diagram</w:t>
      </w:r>
    </w:p>
    <w:p w14:paraId="634252CD">
      <w:pPr>
        <w:jc w:val="center"/>
      </w:pPr>
      <w:r>
        <w:rPr>
          <w:rFonts w:hint="eastAsia" w:ascii="Times New Roman" w:hAnsi="Times New Roman" w:eastAsia="宋体"/>
          <w:sz w:val="20"/>
          <w:lang w:eastAsia="zh-CN"/>
        </w:rPr>
        <w:drawing>
          <wp:inline distT="0" distB="0" distL="114300" distR="114300">
            <wp:extent cx="3275330" cy="2733675"/>
            <wp:effectExtent l="0" t="0" r="1270" b="9525"/>
            <wp:docPr id="2" name="图片 2" descr="060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60210"/>
                    <pic:cNvPicPr>
                      <a:picLocks noChangeAspect="1"/>
                    </pic:cNvPicPr>
                  </pic:nvPicPr>
                  <pic:blipFill>
                    <a:blip r:embed="rId7"/>
                    <a:stretch>
                      <a:fillRect/>
                    </a:stretch>
                  </pic:blipFill>
                  <pic:spPr>
                    <a:xfrm>
                      <a:off x="0" y="0"/>
                      <a:ext cx="3275330" cy="2733675"/>
                    </a:xfrm>
                    <a:prstGeom prst="rect">
                      <a:avLst/>
                    </a:prstGeom>
                    <a:noFill/>
                    <a:ln>
                      <a:noFill/>
                    </a:ln>
                  </pic:spPr>
                </pic:pic>
              </a:graphicData>
            </a:graphic>
          </wp:inline>
        </w:drawing>
      </w:r>
    </w:p>
    <w:p w14:paraId="5143AE43">
      <w:pPr>
        <w:spacing w:after="120"/>
        <w:rPr>
          <w:b w:val="0"/>
          <w:i w:val="0"/>
        </w:rPr>
      </w:pPr>
      <w:r>
        <w:rPr>
          <w:b w:val="0"/>
          <w:i w:val="0"/>
        </w:rPr>
        <w:t>This product can also be used with multiple sensors combined on a single 485 bus. In theory, up to 254 485 sensors can be connected to one bus; the other end connects to a PLC with a 485 interface, to an MCU via a 485 interface chip, or to a computer using a USB-to-485 converter, and is then configured and tested with the sensor configuration tool provided by our company (only one device may be connected when using the configuration software).</w:t>
      </w:r>
    </w:p>
    <w:p w14:paraId="0484F262">
      <w:pPr>
        <w:spacing w:after="120"/>
        <w:jc w:val="center"/>
        <w:rPr>
          <w:b w:val="0"/>
          <w:i w:val="0"/>
        </w:rPr>
      </w:pPr>
      <w:r>
        <w:rPr>
          <w:rFonts w:hint="eastAsia" w:ascii="Times New Roman" w:hAnsi="Times New Roman" w:eastAsia="宋体"/>
          <w:lang w:eastAsia="zh-CN"/>
        </w:rPr>
        <w:drawing>
          <wp:inline distT="0" distB="0" distL="114300" distR="114300">
            <wp:extent cx="3326765" cy="4560570"/>
            <wp:effectExtent l="0" t="0" r="635" b="11430"/>
            <wp:docPr id="3" name="图片 3" descr="060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60211"/>
                    <pic:cNvPicPr>
                      <a:picLocks noChangeAspect="1"/>
                    </pic:cNvPicPr>
                  </pic:nvPicPr>
                  <pic:blipFill>
                    <a:blip r:embed="rId8"/>
                    <a:stretch>
                      <a:fillRect/>
                    </a:stretch>
                  </pic:blipFill>
                  <pic:spPr>
                    <a:xfrm>
                      <a:off x="0" y="0"/>
                      <a:ext cx="3326765" cy="4560570"/>
                    </a:xfrm>
                    <a:prstGeom prst="rect">
                      <a:avLst/>
                    </a:prstGeom>
                    <a:noFill/>
                    <a:ln>
                      <a:noFill/>
                    </a:ln>
                  </pic:spPr>
                </pic:pic>
              </a:graphicData>
            </a:graphic>
          </wp:inline>
        </w:drawing>
      </w:r>
    </w:p>
    <w:p w14:paraId="763E1E3B">
      <w:pPr>
        <w:pStyle w:val="4"/>
      </w:pPr>
      <w:r>
        <w:t>1.5 Product Selection</w:t>
      </w:r>
    </w:p>
    <w:p w14:paraId="29119D21">
      <w:pPr>
        <w:spacing w:after="60"/>
      </w:pPr>
      <w:r>
        <w:rPr>
          <w:b/>
          <w:i w:val="0"/>
        </w:rPr>
        <w:t>Model coding:</w:t>
      </w:r>
    </w:p>
    <w:p w14:paraId="78D81221">
      <w:pPr>
        <w:pStyle w:val="16"/>
        <w:spacing w:after="60"/>
      </w:pPr>
      <w:r>
        <w:rPr>
          <w:b/>
        </w:rPr>
        <w:t xml:space="preserve">SN-  </w:t>
      </w:r>
      <w:r>
        <w:t>Company code</w:t>
      </w:r>
    </w:p>
    <w:p w14:paraId="1F814DB5">
      <w:pPr>
        <w:pStyle w:val="16"/>
        <w:spacing w:after="60"/>
      </w:pPr>
      <w:r>
        <w:rPr>
          <w:b/>
        </w:rPr>
        <w:t xml:space="preserve">3002-  </w:t>
      </w:r>
      <w:r>
        <w:t>Wall-mounted Wang-shaped enclosure</w:t>
      </w:r>
    </w:p>
    <w:p w14:paraId="44695AAD">
      <w:pPr>
        <w:pStyle w:val="16"/>
        <w:spacing w:after="60"/>
      </w:pPr>
      <w:r>
        <w:rPr>
          <w:b/>
        </w:rPr>
        <w:t xml:space="preserve">300OLED-  </w:t>
      </w:r>
      <w:r>
        <w:t>With OLED screen display</w:t>
      </w:r>
    </w:p>
    <w:p w14:paraId="2B1307A0">
      <w:pPr>
        <w:pStyle w:val="16"/>
        <w:spacing w:after="60"/>
      </w:pPr>
      <w:r>
        <w:rPr>
          <w:b/>
        </w:rPr>
        <w:t xml:space="preserve">SJ-  </w:t>
      </w:r>
    </w:p>
    <w:p w14:paraId="685459C4">
      <w:pPr>
        <w:spacing w:after="60"/>
      </w:pPr>
      <w:r>
        <w:rPr>
          <w:b w:val="0"/>
          <w:i w:val="0"/>
        </w:rPr>
        <w:t>Water immersion transmitter / sensor</w:t>
      </w:r>
    </w:p>
    <w:p w14:paraId="327CBF94">
      <w:pPr>
        <w:pStyle w:val="16"/>
        <w:spacing w:after="60"/>
      </w:pPr>
      <w:r>
        <w:rPr>
          <w:b/>
        </w:rPr>
        <w:t xml:space="preserve">R01  </w:t>
      </w:r>
      <w:r>
        <w:t>Relay normally-open contact</w:t>
      </w:r>
    </w:p>
    <w:p w14:paraId="66075A57">
      <w:pPr>
        <w:pStyle w:val="16"/>
        <w:spacing w:after="60"/>
      </w:pPr>
      <w:r>
        <w:rPr>
          <w:b/>
        </w:rPr>
        <w:t xml:space="preserve">N01  </w:t>
      </w:r>
      <w:r>
        <w:t>RS485 output</w:t>
      </w:r>
    </w:p>
    <w:p w14:paraId="4FF4C9FD">
      <w:pPr>
        <w:pStyle w:val="16"/>
        <w:spacing w:after="60"/>
      </w:pPr>
      <w:r>
        <w:rPr>
          <w:b/>
        </w:rPr>
        <w:t xml:space="preserve">N01R01  </w:t>
      </w:r>
      <w:r>
        <w:t>RS485 + relay normally-open contact</w:t>
      </w:r>
    </w:p>
    <w:p w14:paraId="20FE30B6">
      <w:pPr>
        <w:pStyle w:val="3"/>
      </w:pPr>
      <w:r>
        <w:t>Chapter 2  Hardware Connection</w:t>
      </w:r>
    </w:p>
    <w:p w14:paraId="3A8136D9">
      <w:pPr>
        <w:pStyle w:val="4"/>
      </w:pPr>
      <w:r>
        <w:t>2.1 Pre-installation Inspection</w:t>
      </w:r>
    </w:p>
    <w:p w14:paraId="509763F2">
      <w:pPr>
        <w:spacing w:after="60"/>
      </w:pPr>
      <w:r>
        <w:rPr>
          <w:b/>
          <w:i w:val="0"/>
        </w:rPr>
        <w:t>Equipment list:</w:t>
      </w:r>
    </w:p>
    <w:p w14:paraId="4E78C5E5">
      <w:pPr>
        <w:pStyle w:val="16"/>
        <w:spacing w:after="60"/>
      </w:pPr>
      <w:r>
        <w:t>Water immersion sensor unit × 1</w:t>
      </w:r>
    </w:p>
    <w:p w14:paraId="58340D9E">
      <w:pPr>
        <w:pStyle w:val="16"/>
        <w:spacing w:after="60"/>
      </w:pPr>
      <w:r>
        <w:t>Self-tapping screws (2 pcs), expansion plugs (2 pcs)</w:t>
      </w:r>
    </w:p>
    <w:p w14:paraId="573FEC4D">
      <w:pPr>
        <w:pStyle w:val="16"/>
        <w:spacing w:after="60"/>
      </w:pPr>
      <w:r>
        <w:t>USB-to-485 converter (optional)</w:t>
      </w:r>
    </w:p>
    <w:p w14:paraId="625A14BF">
      <w:pPr>
        <w:pStyle w:val="16"/>
        <w:spacing w:after="60"/>
      </w:pPr>
      <w:r>
        <w:t>Certificate of conformity, warranty card</w:t>
      </w:r>
    </w:p>
    <w:p w14:paraId="332A39AA">
      <w:pPr>
        <w:pStyle w:val="4"/>
      </w:pPr>
      <w:r>
        <w:t>2.2 Wiring</w:t>
      </w:r>
    </w:p>
    <w:p w14:paraId="191B9729">
      <w:pPr>
        <w:pStyle w:val="5"/>
      </w:pPr>
      <w:r>
        <w:t>2.2.1 Power and 485 Signal Wiring</w:t>
      </w:r>
    </w:p>
    <w:p w14:paraId="1EF6ABB9">
      <w:pPr>
        <w:spacing w:after="120"/>
      </w:pPr>
      <w:r>
        <w:rPr>
          <w:b w:val="0"/>
          <w:i w:val="0"/>
        </w:rPr>
        <w:t>A wide-range power input of 10–30 V is acceptable. When wiring the 485 signal lines, ensure the A and B lines are not reversed, and that device addresses do not conflict among multiple devices on the same bus.</w:t>
      </w:r>
    </w:p>
    <w:p w14:paraId="5916CDE6">
      <w:pPr>
        <w:pStyle w:val="5"/>
      </w:pPr>
      <w:r>
        <w:t>2.2.2 Relay Interface Wiring</w:t>
      </w:r>
    </w:p>
    <w:p w14:paraId="28F7D88B">
      <w:pPr>
        <w:spacing w:after="120"/>
      </w:pPr>
      <w:r>
        <w:rPr>
          <w:b w:val="0"/>
          <w:i w:val="0"/>
        </w:rPr>
        <w:t>The device comes standard with one relay output; the two outgoing wires are normally-open contacts.</w:t>
      </w:r>
    </w:p>
    <w:p w14:paraId="66416885">
      <w:pPr>
        <w:pStyle w:val="5"/>
      </w:pPr>
      <w:r>
        <w:t>2.2.3 Wiring for Specific Models</w:t>
      </w:r>
    </w:p>
    <w:p w14:paraId="0D28E20E">
      <w:pPr>
        <w:spacing w:after="60"/>
      </w:pPr>
      <w:r>
        <w:rPr>
          <w:b/>
          <w:i w:val="0"/>
        </w:rPr>
        <w:t>Wall-mounted Wang-shaped enclosure wiring:</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1"/>
        <w:gridCol w:w="3524"/>
        <w:gridCol w:w="3531"/>
      </w:tblGrid>
      <w:tr w14:paraId="2EB6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shd w:val="clear" w:color="auto" w:fill="1F4E79"/>
          </w:tcPr>
          <w:p w14:paraId="4FB3C0C2">
            <w:pPr>
              <w:spacing w:after="0" w:line="240" w:lineRule="auto"/>
            </w:pPr>
            <w:r>
              <w:rPr>
                <w:b/>
                <w:color w:val="FFFFFF"/>
                <w:sz w:val="20"/>
              </w:rPr>
              <w:t>Category</w:t>
            </w:r>
          </w:p>
        </w:tc>
        <w:tc>
          <w:tcPr>
            <w:tcW w:w="3744" w:type="dxa"/>
            <w:shd w:val="clear" w:color="auto" w:fill="1F4E79"/>
          </w:tcPr>
          <w:p w14:paraId="5DB157FD">
            <w:pPr>
              <w:spacing w:after="0" w:line="240" w:lineRule="auto"/>
            </w:pPr>
            <w:r>
              <w:rPr>
                <w:b/>
                <w:color w:val="FFFFFF"/>
                <w:sz w:val="20"/>
              </w:rPr>
              <w:t>485 type</w:t>
            </w:r>
          </w:p>
        </w:tc>
        <w:tc>
          <w:tcPr>
            <w:tcW w:w="3744" w:type="dxa"/>
            <w:shd w:val="clear" w:color="auto" w:fill="1F4E79"/>
          </w:tcPr>
          <w:p w14:paraId="3FA04D1D">
            <w:pPr>
              <w:spacing w:after="0" w:line="240" w:lineRule="auto"/>
            </w:pPr>
            <w:r>
              <w:rPr>
                <w:b/>
                <w:color w:val="FFFFFF"/>
                <w:sz w:val="20"/>
              </w:rPr>
              <w:t>Switch type</w:t>
            </w:r>
          </w:p>
        </w:tc>
      </w:tr>
      <w:tr w14:paraId="2ABA4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Pr>
          <w:p w14:paraId="4E4AF00A">
            <w:pPr>
              <w:spacing w:after="0" w:line="240" w:lineRule="auto"/>
            </w:pPr>
            <w:r>
              <w:rPr>
                <w:sz w:val="20"/>
              </w:rPr>
              <w:t>Power</w:t>
            </w:r>
          </w:p>
        </w:tc>
        <w:tc>
          <w:tcPr>
            <w:tcW w:w="3744" w:type="dxa"/>
          </w:tcPr>
          <w:p w14:paraId="2C311D2C">
            <w:pPr>
              <w:spacing w:after="0" w:line="240" w:lineRule="auto"/>
            </w:pPr>
            <w:r>
              <w:rPr>
                <w:sz w:val="20"/>
              </w:rPr>
              <w:t>Power positive (10–30 V DC) (brown)</w:t>
            </w:r>
          </w:p>
        </w:tc>
        <w:tc>
          <w:tcPr>
            <w:tcW w:w="3744" w:type="dxa"/>
          </w:tcPr>
          <w:p w14:paraId="15A1AE45">
            <w:pPr>
              <w:spacing w:after="0" w:line="240" w:lineRule="auto"/>
            </w:pPr>
            <w:r>
              <w:rPr>
                <w:sz w:val="20"/>
              </w:rPr>
              <w:t>Power positive (10–30 V DC) (brown)</w:t>
            </w:r>
          </w:p>
        </w:tc>
      </w:tr>
      <w:tr w14:paraId="4F1C4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Pr>
          <w:p w14:paraId="40D81BD8">
            <w:pPr>
              <w:spacing w:after="0" w:line="240" w:lineRule="auto"/>
            </w:pPr>
          </w:p>
        </w:tc>
        <w:tc>
          <w:tcPr>
            <w:tcW w:w="3744" w:type="dxa"/>
          </w:tcPr>
          <w:p w14:paraId="039AA4E7">
            <w:pPr>
              <w:spacing w:after="0" w:line="240" w:lineRule="auto"/>
            </w:pPr>
            <w:r>
              <w:rPr>
                <w:sz w:val="20"/>
              </w:rPr>
              <w:t>Power negative (black)</w:t>
            </w:r>
          </w:p>
        </w:tc>
        <w:tc>
          <w:tcPr>
            <w:tcW w:w="3744" w:type="dxa"/>
          </w:tcPr>
          <w:p w14:paraId="61D46C78">
            <w:pPr>
              <w:spacing w:after="0" w:line="240" w:lineRule="auto"/>
            </w:pPr>
            <w:r>
              <w:rPr>
                <w:sz w:val="20"/>
              </w:rPr>
              <w:t>Power negative (black)</w:t>
            </w:r>
          </w:p>
        </w:tc>
      </w:tr>
      <w:tr w14:paraId="5CFE0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Pr>
          <w:p w14:paraId="56AFABD1">
            <w:pPr>
              <w:spacing w:after="0" w:line="240" w:lineRule="auto"/>
            </w:pPr>
            <w:r>
              <w:rPr>
                <w:sz w:val="20"/>
              </w:rPr>
              <w:t>Output</w:t>
            </w:r>
          </w:p>
        </w:tc>
        <w:tc>
          <w:tcPr>
            <w:tcW w:w="3744" w:type="dxa"/>
          </w:tcPr>
          <w:p w14:paraId="38394C3C">
            <w:pPr>
              <w:spacing w:after="0" w:line="240" w:lineRule="auto"/>
            </w:pPr>
            <w:r>
              <w:rPr>
                <w:sz w:val="20"/>
              </w:rPr>
              <w:t>485-A (yellow)</w:t>
            </w:r>
          </w:p>
        </w:tc>
        <w:tc>
          <w:tcPr>
            <w:tcW w:w="3744" w:type="dxa"/>
          </w:tcPr>
          <w:p w14:paraId="6FFCFEA7">
            <w:pPr>
              <w:spacing w:after="0" w:line="240" w:lineRule="auto"/>
            </w:pPr>
            <w:r>
              <w:rPr>
                <w:sz w:val="20"/>
              </w:rPr>
              <w:t>Relay normally-open contact (white, green)</w:t>
            </w:r>
          </w:p>
        </w:tc>
      </w:tr>
      <w:tr w14:paraId="7E7E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2" w:type="dxa"/>
          </w:tcPr>
          <w:p w14:paraId="7AAC49DE">
            <w:pPr>
              <w:spacing w:after="0" w:line="240" w:lineRule="auto"/>
            </w:pPr>
          </w:p>
        </w:tc>
        <w:tc>
          <w:tcPr>
            <w:tcW w:w="3744" w:type="dxa"/>
          </w:tcPr>
          <w:p w14:paraId="68A9E82A">
            <w:pPr>
              <w:spacing w:after="0" w:line="240" w:lineRule="auto"/>
            </w:pPr>
            <w:r>
              <w:rPr>
                <w:sz w:val="20"/>
              </w:rPr>
              <w:t>485-B (blue)</w:t>
            </w:r>
          </w:p>
        </w:tc>
        <w:tc>
          <w:tcPr>
            <w:tcW w:w="3744" w:type="dxa"/>
          </w:tcPr>
          <w:p w14:paraId="0D806134">
            <w:pPr>
              <w:spacing w:after="0" w:line="240" w:lineRule="auto"/>
            </w:pPr>
          </w:p>
        </w:tc>
      </w:tr>
    </w:tbl>
    <w:p w14:paraId="7E1B0EBD">
      <w:pPr>
        <w:spacing w:after="120"/>
        <w:rPr>
          <w:b w:val="0"/>
          <w:i/>
        </w:rPr>
      </w:pPr>
      <w:r>
        <w:rPr>
          <w:b w:val="0"/>
          <w:i/>
        </w:rPr>
        <w:t>Product appearance diagram</w:t>
      </w:r>
    </w:p>
    <w:p w14:paraId="2AAABA46">
      <w:pPr>
        <w:spacing w:after="120"/>
        <w:jc w:val="center"/>
        <w:rPr>
          <w:b w:val="0"/>
          <w:i/>
        </w:rPr>
      </w:pPr>
      <w:r>
        <w:rPr>
          <w:rFonts w:hint="eastAsia"/>
          <w:b/>
          <w:bCs/>
          <w:lang w:eastAsia="zh-CN"/>
        </w:rPr>
        <w:drawing>
          <wp:inline distT="0" distB="0" distL="114300" distR="114300">
            <wp:extent cx="2504440" cy="2042795"/>
            <wp:effectExtent l="0" t="0" r="0" b="1905"/>
            <wp:docPr id="4" name="图片 4" descr="D:\Backup\Desktop\光海产品图\水浸王字壳.png水浸王字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Backup\Desktop\光海产品图\水浸王字壳.png水浸王字壳"/>
                    <pic:cNvPicPr>
                      <a:picLocks noChangeAspect="1"/>
                    </pic:cNvPicPr>
                  </pic:nvPicPr>
                  <pic:blipFill>
                    <a:blip r:embed="rId9"/>
                    <a:srcRect t="8745" b="4282"/>
                    <a:stretch>
                      <a:fillRect/>
                    </a:stretch>
                  </pic:blipFill>
                  <pic:spPr>
                    <a:xfrm>
                      <a:off x="0" y="0"/>
                      <a:ext cx="2504440" cy="2042795"/>
                    </a:xfrm>
                    <a:prstGeom prst="rect">
                      <a:avLst/>
                    </a:prstGeom>
                    <a:noFill/>
                    <a:ln>
                      <a:noFill/>
                    </a:ln>
                  </pic:spPr>
                </pic:pic>
              </a:graphicData>
            </a:graphic>
          </wp:inline>
        </w:drawing>
      </w:r>
    </w:p>
    <w:p w14:paraId="50CF967A">
      <w:pPr>
        <w:pStyle w:val="4"/>
      </w:pPr>
      <w:r>
        <w:t>2.3 Installation Method</w:t>
      </w:r>
    </w:p>
    <w:p w14:paraId="1A02B302">
      <w:pPr>
        <w:jc w:val="center"/>
      </w:pPr>
      <w:r>
        <w:rPr>
          <w:rFonts w:hint="eastAsia" w:eastAsia="宋体"/>
          <w:lang w:eastAsia="zh-CN"/>
        </w:rPr>
        <w:drawing>
          <wp:inline distT="0" distB="0" distL="114300" distR="114300">
            <wp:extent cx="2110740" cy="801370"/>
            <wp:effectExtent l="0" t="0" r="10160" b="11430"/>
            <wp:docPr id="5" name="图片 5" descr="06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6026"/>
                    <pic:cNvPicPr>
                      <a:picLocks noChangeAspect="1"/>
                    </pic:cNvPicPr>
                  </pic:nvPicPr>
                  <pic:blipFill>
                    <a:blip r:embed="rId10"/>
                    <a:stretch>
                      <a:fillRect/>
                    </a:stretch>
                  </pic:blipFill>
                  <pic:spPr>
                    <a:xfrm>
                      <a:off x="0" y="0"/>
                      <a:ext cx="2110740" cy="801370"/>
                    </a:xfrm>
                    <a:prstGeom prst="rect">
                      <a:avLst/>
                    </a:prstGeom>
                    <a:noFill/>
                    <a:ln>
                      <a:noFill/>
                    </a:ln>
                  </pic:spPr>
                </pic:pic>
              </a:graphicData>
            </a:graphic>
          </wp:inline>
        </w:drawing>
      </w:r>
    </w:p>
    <w:p w14:paraId="732F7EFC">
      <w:pPr>
        <w:pStyle w:val="4"/>
      </w:pPr>
      <w:r>
        <w:t>2.4 Use of the Water Leak Cable</w:t>
      </w:r>
    </w:p>
    <w:p w14:paraId="6E5B894F">
      <w:pPr>
        <w:spacing w:after="120"/>
        <w:rPr>
          <w:b w:val="0"/>
          <w:i w:val="0"/>
        </w:rPr>
      </w:pPr>
      <w:r>
        <w:rPr>
          <w:b w:val="0"/>
          <w:i w:val="0"/>
        </w:rPr>
        <w:t>For customers who purchase our cable-type water-leak sensors, please note when connecting the water-leak cable that the black wire is the leak-sensing wire, the yellow wire is the support frame, and the black sensing wires at the two ends of the leak cable must not touch each other.</w:t>
      </w:r>
    </w:p>
    <w:p w14:paraId="35006A71">
      <w:pPr>
        <w:spacing w:after="120"/>
        <w:jc w:val="center"/>
        <w:rPr>
          <w:b w:val="0"/>
          <w:i w:val="0"/>
        </w:rPr>
      </w:pPr>
      <w:r>
        <w:rPr>
          <w:rFonts w:hint="eastAsia" w:ascii="Times New Roman" w:hAnsi="Times New Roman" w:eastAsia="宋体"/>
          <w:lang w:eastAsia="zh-CN"/>
        </w:rPr>
        <w:drawing>
          <wp:inline distT="0" distB="0" distL="114300" distR="114300">
            <wp:extent cx="2915285" cy="2915285"/>
            <wp:effectExtent l="0" t="0" r="5715" b="5715"/>
            <wp:docPr id="6" name="图片 6" descr="图片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1(78)"/>
                    <pic:cNvPicPr>
                      <a:picLocks noChangeAspect="1"/>
                    </pic:cNvPicPr>
                  </pic:nvPicPr>
                  <pic:blipFill>
                    <a:blip r:embed="rId11"/>
                    <a:stretch>
                      <a:fillRect/>
                    </a:stretch>
                  </pic:blipFill>
                  <pic:spPr>
                    <a:xfrm>
                      <a:off x="0" y="0"/>
                      <a:ext cx="2915285" cy="2915285"/>
                    </a:xfrm>
                    <a:prstGeom prst="rect">
                      <a:avLst/>
                    </a:prstGeom>
                    <a:noFill/>
                    <a:ln>
                      <a:noFill/>
                    </a:ln>
                  </pic:spPr>
                </pic:pic>
              </a:graphicData>
            </a:graphic>
          </wp:inline>
        </w:drawing>
      </w:r>
    </w:p>
    <w:p w14:paraId="13E49C39">
      <w:pPr>
        <w:pStyle w:val="3"/>
      </w:pPr>
      <w:r>
        <w:t>Chapter 3  Configuration Software Installation and Use</w:t>
      </w:r>
    </w:p>
    <w:p w14:paraId="4D5458AD">
      <w:pPr>
        <w:spacing w:after="120"/>
      </w:pPr>
      <w:r>
        <w:rPr>
          <w:b w:val="0"/>
          <w:i w:val="0"/>
        </w:rPr>
        <w:t>Our company provides a companion “485 Parameter Configuration Software” that conveniently allows the computer to read sensor parameters and flexibly modify the sensor's device ID and address.</w:t>
      </w:r>
    </w:p>
    <w:p w14:paraId="7D77FFDA">
      <w:pPr>
        <w:spacing w:after="120"/>
      </w:pPr>
      <w:r>
        <w:rPr>
          <w:b w:val="0"/>
          <w:i/>
        </w:rPr>
        <w:t>Note: when using the software's automatic acquisition, ensure that only one sensor is present on the 485 bus.</w:t>
      </w:r>
    </w:p>
    <w:p w14:paraId="62FADDF2">
      <w:pPr>
        <w:pStyle w:val="4"/>
      </w:pPr>
      <w:r>
        <w:t>3.1 Connecting the Sensor to a Computer</w:t>
      </w:r>
    </w:p>
    <w:p w14:paraId="6E606FA2">
      <w:pPr>
        <w:spacing w:after="120"/>
        <w:rPr>
          <w:b w:val="0"/>
          <w:i w:val="0"/>
        </w:rPr>
      </w:pPr>
      <w:r>
        <w:rPr>
          <w:b w:val="0"/>
          <w:i w:val="0"/>
        </w:rPr>
        <w:t>After correctly connecting the sensor to the computer via a USB-to-485 converter and providing power, the correct COM port can be seen in the computer (view it under “My Computer — Properties — Device Manager — Ports”).</w:t>
      </w:r>
    </w:p>
    <w:p w14:paraId="1E6AC77A">
      <w:pPr>
        <w:spacing w:after="120"/>
        <w:jc w:val="center"/>
        <w:rPr>
          <w:b w:val="0"/>
          <w:i w:val="0"/>
        </w:rPr>
      </w:pPr>
      <w:r>
        <w:rPr>
          <w:rFonts w:hint="eastAsia" w:ascii="Times New Roman" w:hAnsi="Times New Roman" w:eastAsia="宋体"/>
          <w:lang w:eastAsia="zh-CN"/>
        </w:rPr>
        <w:drawing>
          <wp:inline distT="0" distB="0" distL="114300" distR="114300">
            <wp:extent cx="2268220" cy="560070"/>
            <wp:effectExtent l="0" t="0" r="5080" b="11430"/>
            <wp:docPr id="7" name="图片 7" descr="444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4444444"/>
                    <pic:cNvPicPr>
                      <a:picLocks noChangeAspect="1"/>
                    </pic:cNvPicPr>
                  </pic:nvPicPr>
                  <pic:blipFill>
                    <a:blip r:embed="rId12"/>
                    <a:stretch>
                      <a:fillRect/>
                    </a:stretch>
                  </pic:blipFill>
                  <pic:spPr>
                    <a:xfrm>
                      <a:off x="0" y="0"/>
                      <a:ext cx="2268220" cy="560070"/>
                    </a:xfrm>
                    <a:prstGeom prst="rect">
                      <a:avLst/>
                    </a:prstGeom>
                    <a:noFill/>
                    <a:ln>
                      <a:noFill/>
                    </a:ln>
                  </pic:spPr>
                </pic:pic>
              </a:graphicData>
            </a:graphic>
          </wp:inline>
        </w:drawing>
      </w:r>
    </w:p>
    <w:p w14:paraId="7A12798C">
      <w:pPr>
        <w:spacing w:after="120"/>
      </w:pPr>
      <w:r>
        <w:rPr>
          <w:b w:val="0"/>
          <w:i w:val="0"/>
        </w:rPr>
        <w:t>Open the data package, select “Debug Software” — “485 Parameter Configuration Software”, and double-click to open it.</w:t>
      </w:r>
    </w:p>
    <w:p w14:paraId="10080D53">
      <w:pPr>
        <w:spacing w:after="120"/>
      </w:pPr>
      <w:r>
        <w:rPr>
          <w:b w:val="0"/>
          <w:i w:val="0"/>
        </w:rPr>
        <w:t>If no COM port is found in Device Manager, it means the USB-to-485 driver (included in the data package) has not been installed or has not been installed correctly. Please contact technical personnel for assistance.</w:t>
      </w:r>
    </w:p>
    <w:p w14:paraId="7CD1E6B1">
      <w:pPr>
        <w:pStyle w:val="4"/>
      </w:pPr>
      <w:r>
        <w:t>3.2 Using the Sensor Monitoring Software</w:t>
      </w:r>
    </w:p>
    <w:p w14:paraId="3F63A52E">
      <w:pPr>
        <w:pStyle w:val="14"/>
        <w:spacing w:after="60"/>
      </w:pPr>
      <w:r>
        <w:t>In the configuration interface as shown, first obtain the serial port number according to the method in section 3.1 and select the correct serial port.</w:t>
      </w:r>
    </w:p>
    <w:p w14:paraId="7AB94469">
      <w:pPr>
        <w:pStyle w:val="14"/>
        <w:spacing w:after="60"/>
      </w:pPr>
      <w:r>
        <w:t>Click “Test Baud Rate” in the software; the software will detect the current device's baud rate and address. The default baud rate is 4800 bit/s and the default address is 0x01.</w:t>
      </w:r>
    </w:p>
    <w:p w14:paraId="595D6B77">
      <w:pPr>
        <w:pStyle w:val="14"/>
        <w:spacing w:after="60"/>
      </w:pPr>
      <w:r>
        <w:t>Modify the address and baud rate as needed, and query the device's current functional status.</w:t>
      </w:r>
    </w:p>
    <w:p w14:paraId="66676B86">
      <w:pPr>
        <w:pStyle w:val="14"/>
        <w:spacing w:after="60"/>
      </w:pPr>
      <w:r>
        <w:t>If the test is unsuccessful, please re-check the device wiring and the 485 driver installation.</w:t>
      </w:r>
    </w:p>
    <w:p w14:paraId="6524FD26">
      <w:pPr>
        <w:pStyle w:val="14"/>
        <w:spacing w:after="60"/>
        <w:jc w:val="center"/>
      </w:pPr>
      <w:bookmarkStart w:id="0" w:name="_GoBack"/>
      <w:r>
        <w:rPr>
          <w:rFonts w:hint="eastAsia" w:ascii="Times New Roman" w:hAnsi="Times New Roman" w:eastAsia="宋体"/>
          <w:lang w:eastAsia="zh-CN"/>
        </w:rPr>
        <w:drawing>
          <wp:inline distT="0" distB="0" distL="114300" distR="114300">
            <wp:extent cx="3613785" cy="3224530"/>
            <wp:effectExtent l="0" t="0" r="5715" b="1270"/>
            <wp:docPr id="8" name="图片 8" descr="}9VT`OR`F@5BS1OS[JT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9VT`OR`F@5BS1OS[JT8%{9"/>
                    <pic:cNvPicPr>
                      <a:picLocks noChangeAspect="1"/>
                    </pic:cNvPicPr>
                  </pic:nvPicPr>
                  <pic:blipFill>
                    <a:blip r:embed="rId13"/>
                    <a:stretch>
                      <a:fillRect/>
                    </a:stretch>
                  </pic:blipFill>
                  <pic:spPr>
                    <a:xfrm>
                      <a:off x="0" y="0"/>
                      <a:ext cx="3613785" cy="3224530"/>
                    </a:xfrm>
                    <a:prstGeom prst="rect">
                      <a:avLst/>
                    </a:prstGeom>
                    <a:noFill/>
                    <a:ln>
                      <a:noFill/>
                    </a:ln>
                  </pic:spPr>
                </pic:pic>
              </a:graphicData>
            </a:graphic>
          </wp:inline>
        </w:drawing>
      </w:r>
      <w:bookmarkEnd w:id="0"/>
    </w:p>
    <w:p w14:paraId="495EE3A8">
      <w:pPr>
        <w:pStyle w:val="3"/>
      </w:pPr>
      <w:r>
        <w:t>Chapter 4  Communication Protocol</w:t>
      </w:r>
    </w:p>
    <w:p w14:paraId="2CD176DF">
      <w:pPr>
        <w:pStyle w:val="4"/>
      </w:pPr>
      <w:r>
        <w:t>4.1 Basic Communication Parameters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2"/>
        <w:gridCol w:w="6104"/>
      </w:tblGrid>
      <w:tr w14:paraId="25284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shd w:val="clear" w:color="auto" w:fill="1F4E79"/>
          </w:tcPr>
          <w:p w14:paraId="5FBE363E">
            <w:pPr>
              <w:spacing w:after="0" w:line="240" w:lineRule="auto"/>
            </w:pPr>
            <w:r>
              <w:rPr>
                <w:b/>
                <w:color w:val="FFFFFF"/>
                <w:sz w:val="20"/>
              </w:rPr>
              <w:t>Parameter</w:t>
            </w:r>
          </w:p>
        </w:tc>
        <w:tc>
          <w:tcPr>
            <w:tcW w:w="6480" w:type="dxa"/>
            <w:shd w:val="clear" w:color="auto" w:fill="1F4E79"/>
          </w:tcPr>
          <w:p w14:paraId="06D5DCEA">
            <w:pPr>
              <w:spacing w:after="0" w:line="240" w:lineRule="auto"/>
            </w:pPr>
            <w:r>
              <w:rPr>
                <w:b/>
                <w:color w:val="FFFFFF"/>
                <w:sz w:val="20"/>
              </w:rPr>
              <w:t>Value</w:t>
            </w:r>
          </w:p>
        </w:tc>
      </w:tr>
      <w:tr w14:paraId="76F31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1B46D7D2">
            <w:pPr>
              <w:spacing w:after="0" w:line="240" w:lineRule="auto"/>
            </w:pPr>
            <w:r>
              <w:rPr>
                <w:sz w:val="20"/>
              </w:rPr>
              <w:t>Encoding</w:t>
            </w:r>
          </w:p>
        </w:tc>
        <w:tc>
          <w:tcPr>
            <w:tcW w:w="6480" w:type="dxa"/>
          </w:tcPr>
          <w:p w14:paraId="600FD9DB">
            <w:pPr>
              <w:spacing w:after="0" w:line="240" w:lineRule="auto"/>
            </w:pPr>
            <w:r>
              <w:rPr>
                <w:sz w:val="20"/>
              </w:rPr>
              <w:t>8-bit binary</w:t>
            </w:r>
          </w:p>
        </w:tc>
      </w:tr>
      <w:tr w14:paraId="5050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4D85FAD7">
            <w:pPr>
              <w:spacing w:after="0" w:line="240" w:lineRule="auto"/>
            </w:pPr>
            <w:r>
              <w:rPr>
                <w:sz w:val="20"/>
              </w:rPr>
              <w:t>Data bits</w:t>
            </w:r>
          </w:p>
        </w:tc>
        <w:tc>
          <w:tcPr>
            <w:tcW w:w="6480" w:type="dxa"/>
          </w:tcPr>
          <w:p w14:paraId="67562144">
            <w:pPr>
              <w:spacing w:after="0" w:line="240" w:lineRule="auto"/>
            </w:pPr>
            <w:r>
              <w:rPr>
                <w:sz w:val="20"/>
              </w:rPr>
              <w:t>8 bits</w:t>
            </w:r>
          </w:p>
        </w:tc>
      </w:tr>
      <w:tr w14:paraId="70477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5285F019">
            <w:pPr>
              <w:spacing w:after="0" w:line="240" w:lineRule="auto"/>
            </w:pPr>
            <w:r>
              <w:rPr>
                <w:sz w:val="20"/>
              </w:rPr>
              <w:t>Parity bit</w:t>
            </w:r>
          </w:p>
        </w:tc>
        <w:tc>
          <w:tcPr>
            <w:tcW w:w="6480" w:type="dxa"/>
          </w:tcPr>
          <w:p w14:paraId="3F9E4D17">
            <w:pPr>
              <w:spacing w:after="0" w:line="240" w:lineRule="auto"/>
            </w:pPr>
            <w:r>
              <w:rPr>
                <w:sz w:val="20"/>
              </w:rPr>
              <w:t>None</w:t>
            </w:r>
          </w:p>
        </w:tc>
      </w:tr>
      <w:tr w14:paraId="4CD5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5A4022E1">
            <w:pPr>
              <w:spacing w:after="0" w:line="240" w:lineRule="auto"/>
            </w:pPr>
            <w:r>
              <w:rPr>
                <w:sz w:val="20"/>
              </w:rPr>
              <w:t>Stop bit</w:t>
            </w:r>
          </w:p>
        </w:tc>
        <w:tc>
          <w:tcPr>
            <w:tcW w:w="6480" w:type="dxa"/>
          </w:tcPr>
          <w:p w14:paraId="3A72237C">
            <w:pPr>
              <w:spacing w:after="0" w:line="240" w:lineRule="auto"/>
            </w:pPr>
            <w:r>
              <w:rPr>
                <w:sz w:val="20"/>
              </w:rPr>
              <w:t>1 bit</w:t>
            </w:r>
          </w:p>
        </w:tc>
      </w:tr>
      <w:tr w14:paraId="5EB36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68EB1A95">
            <w:pPr>
              <w:spacing w:after="0" w:line="240" w:lineRule="auto"/>
            </w:pPr>
            <w:r>
              <w:rPr>
                <w:sz w:val="20"/>
              </w:rPr>
              <w:t>Error check</w:t>
            </w:r>
          </w:p>
        </w:tc>
        <w:tc>
          <w:tcPr>
            <w:tcW w:w="6480" w:type="dxa"/>
          </w:tcPr>
          <w:p w14:paraId="378C3FA8">
            <w:pPr>
              <w:spacing w:after="0" w:line="240" w:lineRule="auto"/>
            </w:pPr>
            <w:r>
              <w:rPr>
                <w:sz w:val="20"/>
              </w:rPr>
              <w:t>CRC (Cyclic Redundancy Check)</w:t>
            </w:r>
          </w:p>
        </w:tc>
      </w:tr>
      <w:tr w14:paraId="4305D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2B88F856">
            <w:pPr>
              <w:spacing w:after="0" w:line="240" w:lineRule="auto"/>
            </w:pPr>
            <w:r>
              <w:rPr>
                <w:sz w:val="20"/>
              </w:rPr>
              <w:t>Baud rate</w:t>
            </w:r>
          </w:p>
        </w:tc>
        <w:tc>
          <w:tcPr>
            <w:tcW w:w="6480" w:type="dxa"/>
          </w:tcPr>
          <w:p w14:paraId="6F0EDFFD">
            <w:pPr>
              <w:spacing w:after="0" w:line="240" w:lineRule="auto"/>
            </w:pPr>
            <w:r>
              <w:rPr>
                <w:sz w:val="20"/>
              </w:rPr>
              <w:t>2400 bit/s, 4800 bit/s, 9600 bit/s (selectable); factory default 4800 bit/s</w:t>
            </w:r>
          </w:p>
        </w:tc>
      </w:tr>
    </w:tbl>
    <w:p w14:paraId="1EDCDBFC">
      <w:pPr>
        <w:pStyle w:val="4"/>
      </w:pPr>
      <w:r>
        <w:t>4.2 Data Frame Format Definition</w:t>
      </w:r>
    </w:p>
    <w:p w14:paraId="5B650EBE">
      <w:pPr>
        <w:spacing w:after="60"/>
      </w:pPr>
      <w:r>
        <w:rPr>
          <w:b w:val="0"/>
          <w:i w:val="0"/>
        </w:rPr>
        <w:t>The ModBus-RTU communication protocol is used, with the format as follows:</w:t>
      </w:r>
    </w:p>
    <w:p w14:paraId="1C482AEB">
      <w:pPr>
        <w:pStyle w:val="16"/>
        <w:spacing w:after="60"/>
      </w:pPr>
      <w:r>
        <w:t>Initial structure: ≥ 4 bytes time interval</w:t>
      </w:r>
    </w:p>
    <w:p w14:paraId="54781AEE">
      <w:pPr>
        <w:pStyle w:val="16"/>
        <w:spacing w:after="60"/>
      </w:pPr>
      <w:r>
        <w:t>Address code = 1 byte</w:t>
      </w:r>
    </w:p>
    <w:p w14:paraId="649D1B18">
      <w:pPr>
        <w:pStyle w:val="16"/>
        <w:spacing w:after="60"/>
      </w:pPr>
      <w:r>
        <w:t>Function code = 1 byte</w:t>
      </w:r>
    </w:p>
    <w:p w14:paraId="3D81C7C0">
      <w:pPr>
        <w:pStyle w:val="16"/>
        <w:spacing w:after="60"/>
      </w:pPr>
      <w:r>
        <w:t>Data area = N bytes</w:t>
      </w:r>
    </w:p>
    <w:p w14:paraId="719D65A0">
      <w:pPr>
        <w:pStyle w:val="16"/>
        <w:spacing w:after="60"/>
      </w:pPr>
      <w:r>
        <w:t>Error check = 16-bit CRC code</w:t>
      </w:r>
    </w:p>
    <w:p w14:paraId="52A416F7">
      <w:pPr>
        <w:pStyle w:val="16"/>
        <w:spacing w:after="60"/>
      </w:pPr>
      <w:r>
        <w:t>End structure: ≥ 4 bytes time interval</w:t>
      </w:r>
    </w:p>
    <w:p w14:paraId="1B0F829B">
      <w:pPr>
        <w:spacing w:after="60"/>
      </w:pPr>
      <w:r>
        <w:rPr>
          <w:b w:val="0"/>
          <w:i w:val="0"/>
        </w:rPr>
        <w:t>Address code: the address of the transmitter, unique on the communication network (factory default 0x01).</w:t>
      </w:r>
    </w:p>
    <w:p w14:paraId="6AB4CA1E">
      <w:pPr>
        <w:spacing w:after="60"/>
      </w:pPr>
      <w:r>
        <w:rPr>
          <w:b w:val="0"/>
          <w:i w:val="0"/>
        </w:rPr>
        <w:t>Function code: indicates the function of the command sent by the host; this transmitter only uses function code 0x03 (read register data).</w:t>
      </w:r>
    </w:p>
    <w:p w14:paraId="0F8D247B">
      <w:pPr>
        <w:spacing w:after="60"/>
      </w:pPr>
      <w:r>
        <w:rPr>
          <w:b w:val="0"/>
          <w:i w:val="0"/>
        </w:rPr>
        <w:t>Data area: the specific communication data; note that for 16-bit data the high byte comes first!</w:t>
      </w:r>
    </w:p>
    <w:p w14:paraId="31DCE66A">
      <w:pPr>
        <w:spacing w:after="120"/>
      </w:pPr>
      <w:r>
        <w:rPr>
          <w:b w:val="0"/>
          <w:i w:val="0"/>
        </w:rPr>
        <w:t>CRC code: a two-byte check code.</w:t>
      </w:r>
    </w:p>
    <w:p w14:paraId="637D0854">
      <w:pPr>
        <w:spacing w:after="60"/>
      </w:pPr>
      <w:r>
        <w:rPr>
          <w:b/>
          <w:i w:val="0"/>
        </w:rPr>
        <w:t>Host query frame structure:</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2"/>
        <w:gridCol w:w="1179"/>
        <w:gridCol w:w="1247"/>
        <w:gridCol w:w="1595"/>
        <w:gridCol w:w="1337"/>
        <w:gridCol w:w="928"/>
        <w:gridCol w:w="938"/>
      </w:tblGrid>
      <w:tr w14:paraId="10AA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shd w:val="clear" w:color="auto" w:fill="1F4E79"/>
          </w:tcPr>
          <w:p w14:paraId="3B1F0CD0">
            <w:pPr>
              <w:spacing w:after="0" w:line="240" w:lineRule="auto"/>
            </w:pPr>
            <w:r>
              <w:rPr>
                <w:b/>
                <w:color w:val="FFFFFF"/>
                <w:sz w:val="20"/>
              </w:rPr>
              <w:t>Field</w:t>
            </w:r>
          </w:p>
        </w:tc>
        <w:tc>
          <w:tcPr>
            <w:tcW w:w="1296" w:type="dxa"/>
            <w:shd w:val="clear" w:color="auto" w:fill="1F4E79"/>
          </w:tcPr>
          <w:p w14:paraId="7E346471">
            <w:pPr>
              <w:spacing w:after="0" w:line="240" w:lineRule="auto"/>
            </w:pPr>
            <w:r>
              <w:rPr>
                <w:b/>
                <w:color w:val="FFFFFF"/>
                <w:sz w:val="20"/>
              </w:rPr>
              <w:t>Address code</w:t>
            </w:r>
          </w:p>
        </w:tc>
        <w:tc>
          <w:tcPr>
            <w:tcW w:w="1368" w:type="dxa"/>
            <w:shd w:val="clear" w:color="auto" w:fill="1F4E79"/>
          </w:tcPr>
          <w:p w14:paraId="30EB219C">
            <w:pPr>
              <w:spacing w:after="0" w:line="240" w:lineRule="auto"/>
            </w:pPr>
            <w:r>
              <w:rPr>
                <w:b/>
                <w:color w:val="FFFFFF"/>
                <w:sz w:val="20"/>
              </w:rPr>
              <w:t>Function code</w:t>
            </w:r>
          </w:p>
        </w:tc>
        <w:tc>
          <w:tcPr>
            <w:tcW w:w="1872" w:type="dxa"/>
            <w:shd w:val="clear" w:color="auto" w:fill="1F4E79"/>
          </w:tcPr>
          <w:p w14:paraId="7E9A167B">
            <w:pPr>
              <w:spacing w:after="0" w:line="240" w:lineRule="auto"/>
            </w:pPr>
            <w:r>
              <w:rPr>
                <w:b/>
                <w:color w:val="FFFFFF"/>
                <w:sz w:val="20"/>
              </w:rPr>
              <w:t>Register start addr.</w:t>
            </w:r>
          </w:p>
        </w:tc>
        <w:tc>
          <w:tcPr>
            <w:tcW w:w="1512" w:type="dxa"/>
            <w:shd w:val="clear" w:color="auto" w:fill="1F4E79"/>
          </w:tcPr>
          <w:p w14:paraId="4A00C9F6">
            <w:pPr>
              <w:spacing w:after="0" w:line="240" w:lineRule="auto"/>
            </w:pPr>
            <w:r>
              <w:rPr>
                <w:b/>
                <w:color w:val="FFFFFF"/>
                <w:sz w:val="20"/>
              </w:rPr>
              <w:t>Register length</w:t>
            </w:r>
          </w:p>
        </w:tc>
        <w:tc>
          <w:tcPr>
            <w:tcW w:w="1080" w:type="dxa"/>
            <w:shd w:val="clear" w:color="auto" w:fill="1F4E79"/>
          </w:tcPr>
          <w:p w14:paraId="4B7DD408">
            <w:pPr>
              <w:spacing w:after="0" w:line="240" w:lineRule="auto"/>
            </w:pPr>
            <w:r>
              <w:rPr>
                <w:b/>
                <w:color w:val="FFFFFF"/>
                <w:sz w:val="20"/>
              </w:rPr>
              <w:t>CRC low</w:t>
            </w:r>
          </w:p>
        </w:tc>
        <w:tc>
          <w:tcPr>
            <w:tcW w:w="1080" w:type="dxa"/>
            <w:shd w:val="clear" w:color="auto" w:fill="1F4E79"/>
          </w:tcPr>
          <w:p w14:paraId="65493AEE">
            <w:pPr>
              <w:spacing w:after="0" w:line="240" w:lineRule="auto"/>
            </w:pPr>
            <w:r>
              <w:rPr>
                <w:b/>
                <w:color w:val="FFFFFF"/>
                <w:sz w:val="20"/>
              </w:rPr>
              <w:t>CRC high</w:t>
            </w:r>
          </w:p>
        </w:tc>
      </w:tr>
      <w:tr w14:paraId="6500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6" w:type="dxa"/>
          </w:tcPr>
          <w:p w14:paraId="2B913314">
            <w:pPr>
              <w:spacing w:after="0" w:line="240" w:lineRule="auto"/>
            </w:pPr>
            <w:r>
              <w:rPr>
                <w:sz w:val="20"/>
              </w:rPr>
              <w:t>Bytes</w:t>
            </w:r>
          </w:p>
        </w:tc>
        <w:tc>
          <w:tcPr>
            <w:tcW w:w="1296" w:type="dxa"/>
          </w:tcPr>
          <w:p w14:paraId="6196A2C0">
            <w:pPr>
              <w:spacing w:after="0" w:line="240" w:lineRule="auto"/>
            </w:pPr>
            <w:r>
              <w:rPr>
                <w:sz w:val="20"/>
              </w:rPr>
              <w:t>1</w:t>
            </w:r>
          </w:p>
        </w:tc>
        <w:tc>
          <w:tcPr>
            <w:tcW w:w="1368" w:type="dxa"/>
          </w:tcPr>
          <w:p w14:paraId="39A251DD">
            <w:pPr>
              <w:spacing w:after="0" w:line="240" w:lineRule="auto"/>
            </w:pPr>
            <w:r>
              <w:rPr>
                <w:sz w:val="20"/>
              </w:rPr>
              <w:t>1</w:t>
            </w:r>
          </w:p>
        </w:tc>
        <w:tc>
          <w:tcPr>
            <w:tcW w:w="1872" w:type="dxa"/>
          </w:tcPr>
          <w:p w14:paraId="082AFDA6">
            <w:pPr>
              <w:spacing w:after="0" w:line="240" w:lineRule="auto"/>
            </w:pPr>
            <w:r>
              <w:rPr>
                <w:sz w:val="20"/>
              </w:rPr>
              <w:t>2</w:t>
            </w:r>
          </w:p>
        </w:tc>
        <w:tc>
          <w:tcPr>
            <w:tcW w:w="1512" w:type="dxa"/>
          </w:tcPr>
          <w:p w14:paraId="459795D1">
            <w:pPr>
              <w:spacing w:after="0" w:line="240" w:lineRule="auto"/>
            </w:pPr>
            <w:r>
              <w:rPr>
                <w:sz w:val="20"/>
              </w:rPr>
              <w:t>2</w:t>
            </w:r>
          </w:p>
        </w:tc>
        <w:tc>
          <w:tcPr>
            <w:tcW w:w="1080" w:type="dxa"/>
          </w:tcPr>
          <w:p w14:paraId="6AD0C226">
            <w:pPr>
              <w:spacing w:after="0" w:line="240" w:lineRule="auto"/>
            </w:pPr>
            <w:r>
              <w:rPr>
                <w:sz w:val="20"/>
              </w:rPr>
              <w:t>1</w:t>
            </w:r>
          </w:p>
        </w:tc>
        <w:tc>
          <w:tcPr>
            <w:tcW w:w="1080" w:type="dxa"/>
          </w:tcPr>
          <w:p w14:paraId="154A94DC">
            <w:pPr>
              <w:spacing w:after="0" w:line="240" w:lineRule="auto"/>
            </w:pPr>
            <w:r>
              <w:rPr>
                <w:sz w:val="20"/>
              </w:rPr>
              <w:t>1</w:t>
            </w:r>
          </w:p>
        </w:tc>
      </w:tr>
    </w:tbl>
    <w:p w14:paraId="266B8464">
      <w:pPr>
        <w:spacing w:after="60"/>
      </w:pPr>
      <w:r>
        <w:rPr>
          <w:b/>
          <w:i w:val="0"/>
        </w:rPr>
        <w:t>Slave response frame structure:</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3"/>
        <w:gridCol w:w="1125"/>
        <w:gridCol w:w="1244"/>
        <w:gridCol w:w="1113"/>
        <w:gridCol w:w="1198"/>
        <w:gridCol w:w="1147"/>
        <w:gridCol w:w="1045"/>
        <w:gridCol w:w="771"/>
      </w:tblGrid>
      <w:tr w14:paraId="65DE6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shd w:val="clear" w:color="auto" w:fill="1F4E79"/>
          </w:tcPr>
          <w:p w14:paraId="36B9F683">
            <w:pPr>
              <w:spacing w:after="0" w:line="240" w:lineRule="auto"/>
            </w:pPr>
            <w:r>
              <w:rPr>
                <w:b/>
                <w:color w:val="FFFFFF"/>
                <w:sz w:val="20"/>
              </w:rPr>
              <w:t>Field</w:t>
            </w:r>
          </w:p>
        </w:tc>
        <w:tc>
          <w:tcPr>
            <w:tcW w:w="1224" w:type="dxa"/>
            <w:shd w:val="clear" w:color="auto" w:fill="1F4E79"/>
          </w:tcPr>
          <w:p w14:paraId="0162CC08">
            <w:pPr>
              <w:spacing w:after="0" w:line="240" w:lineRule="auto"/>
            </w:pPr>
            <w:r>
              <w:rPr>
                <w:b/>
                <w:color w:val="FFFFFF"/>
                <w:sz w:val="20"/>
              </w:rPr>
              <w:t>Address code</w:t>
            </w:r>
          </w:p>
        </w:tc>
        <w:tc>
          <w:tcPr>
            <w:tcW w:w="1368" w:type="dxa"/>
            <w:shd w:val="clear" w:color="auto" w:fill="1F4E79"/>
          </w:tcPr>
          <w:p w14:paraId="657A5B74">
            <w:pPr>
              <w:spacing w:after="0" w:line="240" w:lineRule="auto"/>
            </w:pPr>
            <w:r>
              <w:rPr>
                <w:b/>
                <w:color w:val="FFFFFF"/>
                <w:sz w:val="20"/>
              </w:rPr>
              <w:t>Function code</w:t>
            </w:r>
          </w:p>
        </w:tc>
        <w:tc>
          <w:tcPr>
            <w:tcW w:w="1296" w:type="dxa"/>
            <w:shd w:val="clear" w:color="auto" w:fill="1F4E79"/>
          </w:tcPr>
          <w:p w14:paraId="5F935A10">
            <w:pPr>
              <w:spacing w:after="0" w:line="240" w:lineRule="auto"/>
            </w:pPr>
            <w:r>
              <w:rPr>
                <w:b/>
                <w:color w:val="FFFFFF"/>
                <w:sz w:val="20"/>
              </w:rPr>
              <w:t>Valid bytes</w:t>
            </w:r>
          </w:p>
        </w:tc>
        <w:tc>
          <w:tcPr>
            <w:tcW w:w="1440" w:type="dxa"/>
            <w:shd w:val="clear" w:color="auto" w:fill="1F4E79"/>
          </w:tcPr>
          <w:p w14:paraId="558943ED">
            <w:pPr>
              <w:spacing w:after="0" w:line="240" w:lineRule="auto"/>
            </w:pPr>
            <w:r>
              <w:rPr>
                <w:b/>
                <w:color w:val="FFFFFF"/>
                <w:sz w:val="20"/>
              </w:rPr>
              <w:t>Data area 1</w:t>
            </w:r>
          </w:p>
        </w:tc>
        <w:tc>
          <w:tcPr>
            <w:tcW w:w="1368" w:type="dxa"/>
            <w:shd w:val="clear" w:color="auto" w:fill="1F4E79"/>
          </w:tcPr>
          <w:p w14:paraId="3E243077">
            <w:pPr>
              <w:spacing w:after="0" w:line="240" w:lineRule="auto"/>
            </w:pPr>
            <w:r>
              <w:rPr>
                <w:b/>
                <w:color w:val="FFFFFF"/>
                <w:sz w:val="20"/>
              </w:rPr>
              <w:t>Data area 2</w:t>
            </w:r>
          </w:p>
        </w:tc>
        <w:tc>
          <w:tcPr>
            <w:tcW w:w="1224" w:type="dxa"/>
            <w:shd w:val="clear" w:color="auto" w:fill="1F4E79"/>
          </w:tcPr>
          <w:p w14:paraId="38599731">
            <w:pPr>
              <w:spacing w:after="0" w:line="240" w:lineRule="auto"/>
            </w:pPr>
            <w:r>
              <w:rPr>
                <w:b/>
                <w:color w:val="FFFFFF"/>
                <w:sz w:val="20"/>
              </w:rPr>
              <w:t>… Data N</w:t>
            </w:r>
          </w:p>
        </w:tc>
        <w:tc>
          <w:tcPr>
            <w:tcW w:w="864" w:type="dxa"/>
            <w:shd w:val="clear" w:color="auto" w:fill="1F4E79"/>
          </w:tcPr>
          <w:p w14:paraId="135EFEE7">
            <w:pPr>
              <w:spacing w:after="0" w:line="240" w:lineRule="auto"/>
            </w:pPr>
            <w:r>
              <w:rPr>
                <w:b/>
                <w:color w:val="FFFFFF"/>
                <w:sz w:val="20"/>
              </w:rPr>
              <w:t>CRC</w:t>
            </w:r>
          </w:p>
        </w:tc>
      </w:tr>
      <w:tr w14:paraId="4C79A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tcPr>
          <w:p w14:paraId="366D9248">
            <w:pPr>
              <w:spacing w:after="0" w:line="240" w:lineRule="auto"/>
            </w:pPr>
            <w:r>
              <w:rPr>
                <w:sz w:val="20"/>
              </w:rPr>
              <w:t>Bytes</w:t>
            </w:r>
          </w:p>
        </w:tc>
        <w:tc>
          <w:tcPr>
            <w:tcW w:w="1224" w:type="dxa"/>
          </w:tcPr>
          <w:p w14:paraId="6CE05248">
            <w:pPr>
              <w:spacing w:after="0" w:line="240" w:lineRule="auto"/>
            </w:pPr>
            <w:r>
              <w:rPr>
                <w:sz w:val="20"/>
              </w:rPr>
              <w:t>1</w:t>
            </w:r>
          </w:p>
        </w:tc>
        <w:tc>
          <w:tcPr>
            <w:tcW w:w="1368" w:type="dxa"/>
          </w:tcPr>
          <w:p w14:paraId="5ECBCD9C">
            <w:pPr>
              <w:spacing w:after="0" w:line="240" w:lineRule="auto"/>
            </w:pPr>
            <w:r>
              <w:rPr>
                <w:sz w:val="20"/>
              </w:rPr>
              <w:t>1</w:t>
            </w:r>
          </w:p>
        </w:tc>
        <w:tc>
          <w:tcPr>
            <w:tcW w:w="1296" w:type="dxa"/>
          </w:tcPr>
          <w:p w14:paraId="2E574D14">
            <w:pPr>
              <w:spacing w:after="0" w:line="240" w:lineRule="auto"/>
            </w:pPr>
            <w:r>
              <w:rPr>
                <w:sz w:val="20"/>
              </w:rPr>
              <w:t>1</w:t>
            </w:r>
          </w:p>
        </w:tc>
        <w:tc>
          <w:tcPr>
            <w:tcW w:w="1440" w:type="dxa"/>
          </w:tcPr>
          <w:p w14:paraId="3BF0E50E">
            <w:pPr>
              <w:spacing w:after="0" w:line="240" w:lineRule="auto"/>
            </w:pPr>
            <w:r>
              <w:rPr>
                <w:sz w:val="20"/>
              </w:rPr>
              <w:t>2</w:t>
            </w:r>
          </w:p>
        </w:tc>
        <w:tc>
          <w:tcPr>
            <w:tcW w:w="1368" w:type="dxa"/>
          </w:tcPr>
          <w:p w14:paraId="1897E2CA">
            <w:pPr>
              <w:spacing w:after="0" w:line="240" w:lineRule="auto"/>
            </w:pPr>
            <w:r>
              <w:rPr>
                <w:sz w:val="20"/>
              </w:rPr>
              <w:t>2</w:t>
            </w:r>
          </w:p>
        </w:tc>
        <w:tc>
          <w:tcPr>
            <w:tcW w:w="1224" w:type="dxa"/>
          </w:tcPr>
          <w:p w14:paraId="37783804">
            <w:pPr>
              <w:spacing w:after="0" w:line="240" w:lineRule="auto"/>
            </w:pPr>
            <w:r>
              <w:rPr>
                <w:sz w:val="20"/>
              </w:rPr>
              <w:t>2</w:t>
            </w:r>
          </w:p>
        </w:tc>
        <w:tc>
          <w:tcPr>
            <w:tcW w:w="864" w:type="dxa"/>
          </w:tcPr>
          <w:p w14:paraId="79F5663A">
            <w:pPr>
              <w:spacing w:after="0" w:line="240" w:lineRule="auto"/>
            </w:pPr>
            <w:r>
              <w:rPr>
                <w:sz w:val="20"/>
              </w:rPr>
              <w:t>2</w:t>
            </w:r>
          </w:p>
        </w:tc>
      </w:tr>
    </w:tbl>
    <w:p w14:paraId="7944199C">
      <w:pPr>
        <w:pStyle w:val="4"/>
      </w:pPr>
      <w:r>
        <w:t>4.3 Register Addresses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3"/>
        <w:gridCol w:w="2172"/>
        <w:gridCol w:w="3105"/>
        <w:gridCol w:w="1536"/>
      </w:tblGrid>
      <w:tr w14:paraId="46CC1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shd w:val="clear" w:color="auto" w:fill="1F4E79"/>
          </w:tcPr>
          <w:p w14:paraId="771746AB">
            <w:pPr>
              <w:spacing w:after="0" w:line="240" w:lineRule="auto"/>
            </w:pPr>
            <w:r>
              <w:rPr>
                <w:b/>
                <w:color w:val="FFFFFF"/>
                <w:sz w:val="20"/>
              </w:rPr>
              <w:t>Register Address</w:t>
            </w:r>
          </w:p>
        </w:tc>
        <w:tc>
          <w:tcPr>
            <w:tcW w:w="2304" w:type="dxa"/>
            <w:shd w:val="clear" w:color="auto" w:fill="1F4E79"/>
          </w:tcPr>
          <w:p w14:paraId="44584F5D">
            <w:pPr>
              <w:spacing w:after="0" w:line="240" w:lineRule="auto"/>
            </w:pPr>
            <w:r>
              <w:rPr>
                <w:b/>
                <w:color w:val="FFFFFF"/>
                <w:sz w:val="20"/>
              </w:rPr>
              <w:t>PLC / SCADA Address</w:t>
            </w:r>
          </w:p>
        </w:tc>
        <w:tc>
          <w:tcPr>
            <w:tcW w:w="3312" w:type="dxa"/>
            <w:shd w:val="clear" w:color="auto" w:fill="1F4E79"/>
          </w:tcPr>
          <w:p w14:paraId="70BD206D">
            <w:pPr>
              <w:spacing w:after="0" w:line="240" w:lineRule="auto"/>
            </w:pPr>
            <w:r>
              <w:rPr>
                <w:b/>
                <w:color w:val="FFFFFF"/>
                <w:sz w:val="20"/>
              </w:rPr>
              <w:t>Content</w:t>
            </w:r>
          </w:p>
        </w:tc>
        <w:tc>
          <w:tcPr>
            <w:tcW w:w="1584" w:type="dxa"/>
            <w:shd w:val="clear" w:color="auto" w:fill="1F4E79"/>
          </w:tcPr>
          <w:p w14:paraId="69236CED">
            <w:pPr>
              <w:spacing w:after="0" w:line="240" w:lineRule="auto"/>
            </w:pPr>
            <w:r>
              <w:rPr>
                <w:b/>
                <w:color w:val="FFFFFF"/>
                <w:sz w:val="20"/>
              </w:rPr>
              <w:t>Operation</w:t>
            </w:r>
          </w:p>
        </w:tc>
      </w:tr>
      <w:tr w14:paraId="3E48A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11E7000C">
            <w:pPr>
              <w:spacing w:after="0" w:line="240" w:lineRule="auto"/>
            </w:pPr>
            <w:r>
              <w:rPr>
                <w:sz w:val="20"/>
              </w:rPr>
              <w:t>0002 H</w:t>
            </w:r>
          </w:p>
        </w:tc>
        <w:tc>
          <w:tcPr>
            <w:tcW w:w="2304" w:type="dxa"/>
          </w:tcPr>
          <w:p w14:paraId="4292CF70">
            <w:pPr>
              <w:spacing w:after="0" w:line="240" w:lineRule="auto"/>
            </w:pPr>
            <w:r>
              <w:rPr>
                <w:sz w:val="20"/>
              </w:rPr>
              <w:t>40003</w:t>
            </w:r>
          </w:p>
        </w:tc>
        <w:tc>
          <w:tcPr>
            <w:tcW w:w="3312" w:type="dxa"/>
          </w:tcPr>
          <w:p w14:paraId="0AF1827C">
            <w:pPr>
              <w:spacing w:after="0" w:line="240" w:lineRule="auto"/>
            </w:pPr>
            <w:r>
              <w:rPr>
                <w:sz w:val="20"/>
              </w:rPr>
              <w:t>Real-time water immersion status</w:t>
            </w:r>
          </w:p>
        </w:tc>
        <w:tc>
          <w:tcPr>
            <w:tcW w:w="1584" w:type="dxa"/>
          </w:tcPr>
          <w:p w14:paraId="119197DA">
            <w:pPr>
              <w:spacing w:after="0" w:line="240" w:lineRule="auto"/>
            </w:pPr>
            <w:r>
              <w:rPr>
                <w:sz w:val="20"/>
              </w:rPr>
              <w:t>Read-only</w:t>
            </w:r>
          </w:p>
        </w:tc>
      </w:tr>
      <w:tr w14:paraId="38B2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tcPr>
          <w:p w14:paraId="7789E200">
            <w:pPr>
              <w:spacing w:after="0" w:line="240" w:lineRule="auto"/>
            </w:pPr>
            <w:r>
              <w:rPr>
                <w:sz w:val="20"/>
              </w:rPr>
              <w:t>0034 H</w:t>
            </w:r>
          </w:p>
        </w:tc>
        <w:tc>
          <w:tcPr>
            <w:tcW w:w="2304" w:type="dxa"/>
          </w:tcPr>
          <w:p w14:paraId="339912CA">
            <w:pPr>
              <w:spacing w:after="0" w:line="240" w:lineRule="auto"/>
            </w:pPr>
            <w:r>
              <w:rPr>
                <w:sz w:val="20"/>
              </w:rPr>
              <w:t>40053</w:t>
            </w:r>
          </w:p>
        </w:tc>
        <w:tc>
          <w:tcPr>
            <w:tcW w:w="3312" w:type="dxa"/>
          </w:tcPr>
          <w:p w14:paraId="5BF1727C">
            <w:pPr>
              <w:spacing w:after="0" w:line="240" w:lineRule="auto"/>
            </w:pPr>
            <w:r>
              <w:rPr>
                <w:sz w:val="20"/>
              </w:rPr>
              <w:t>Current sensitivity</w:t>
            </w:r>
          </w:p>
        </w:tc>
        <w:tc>
          <w:tcPr>
            <w:tcW w:w="1584" w:type="dxa"/>
          </w:tcPr>
          <w:p w14:paraId="3F031282">
            <w:pPr>
              <w:spacing w:after="0" w:line="240" w:lineRule="auto"/>
            </w:pPr>
            <w:r>
              <w:rPr>
                <w:sz w:val="20"/>
              </w:rPr>
              <w:t>Read / Write</w:t>
            </w:r>
          </w:p>
        </w:tc>
      </w:tr>
    </w:tbl>
    <w:p w14:paraId="6D8D222C">
      <w:pPr>
        <w:pStyle w:val="4"/>
      </w:pPr>
      <w:r>
        <w:t>4.4 Communication Protocol Examples and Explanations</w:t>
      </w:r>
    </w:p>
    <w:p w14:paraId="00854867">
      <w:pPr>
        <w:spacing w:after="60"/>
      </w:pPr>
      <w:r>
        <w:rPr>
          <w:b/>
          <w:i w:val="0"/>
        </w:rPr>
        <w:t>Example 1: Read the water immersion status of device address 0x01</w:t>
      </w:r>
    </w:p>
    <w:p w14:paraId="761E34B8">
      <w:pPr>
        <w:spacing w:after="40"/>
      </w:pPr>
      <w:r>
        <w:rPr>
          <w:b w:val="0"/>
          <w:i w:val="0"/>
        </w:rPr>
        <w:t>Query frame:</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8"/>
        <w:gridCol w:w="1533"/>
        <w:gridCol w:w="1792"/>
        <w:gridCol w:w="1518"/>
        <w:gridCol w:w="1242"/>
        <w:gridCol w:w="1243"/>
      </w:tblGrid>
      <w:tr w14:paraId="0FAE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shd w:val="clear" w:color="auto" w:fill="1F4E79"/>
          </w:tcPr>
          <w:p w14:paraId="4E534356">
            <w:pPr>
              <w:spacing w:after="0" w:line="240" w:lineRule="auto"/>
            </w:pPr>
            <w:r>
              <w:rPr>
                <w:b/>
                <w:color w:val="FFFFFF"/>
                <w:sz w:val="20"/>
              </w:rPr>
              <w:t>Address code</w:t>
            </w:r>
          </w:p>
        </w:tc>
        <w:tc>
          <w:tcPr>
            <w:tcW w:w="1584" w:type="dxa"/>
            <w:shd w:val="clear" w:color="auto" w:fill="1F4E79"/>
          </w:tcPr>
          <w:p w14:paraId="6F569D28">
            <w:pPr>
              <w:spacing w:after="0" w:line="240" w:lineRule="auto"/>
            </w:pPr>
            <w:r>
              <w:rPr>
                <w:b/>
                <w:color w:val="FFFFFF"/>
                <w:sz w:val="20"/>
              </w:rPr>
              <w:t>Function code</w:t>
            </w:r>
          </w:p>
        </w:tc>
        <w:tc>
          <w:tcPr>
            <w:tcW w:w="1872" w:type="dxa"/>
            <w:shd w:val="clear" w:color="auto" w:fill="1F4E79"/>
          </w:tcPr>
          <w:p w14:paraId="4C1DAA46">
            <w:pPr>
              <w:spacing w:after="0" w:line="240" w:lineRule="auto"/>
            </w:pPr>
            <w:r>
              <w:rPr>
                <w:b/>
                <w:color w:val="FFFFFF"/>
                <w:sz w:val="20"/>
              </w:rPr>
              <w:t>Start address</w:t>
            </w:r>
          </w:p>
        </w:tc>
        <w:tc>
          <w:tcPr>
            <w:tcW w:w="1584" w:type="dxa"/>
            <w:shd w:val="clear" w:color="auto" w:fill="1F4E79"/>
          </w:tcPr>
          <w:p w14:paraId="78DBA718">
            <w:pPr>
              <w:spacing w:after="0" w:line="240" w:lineRule="auto"/>
            </w:pPr>
            <w:r>
              <w:rPr>
                <w:b/>
                <w:color w:val="FFFFFF"/>
                <w:sz w:val="20"/>
              </w:rPr>
              <w:t>Data length</w:t>
            </w:r>
          </w:p>
        </w:tc>
        <w:tc>
          <w:tcPr>
            <w:tcW w:w="1296" w:type="dxa"/>
            <w:shd w:val="clear" w:color="auto" w:fill="1F4E79"/>
          </w:tcPr>
          <w:p w14:paraId="0171FF3F">
            <w:pPr>
              <w:spacing w:after="0" w:line="240" w:lineRule="auto"/>
            </w:pPr>
            <w:r>
              <w:rPr>
                <w:b/>
                <w:color w:val="FFFFFF"/>
                <w:sz w:val="20"/>
              </w:rPr>
              <w:t>CRC low</w:t>
            </w:r>
          </w:p>
        </w:tc>
        <w:tc>
          <w:tcPr>
            <w:tcW w:w="1296" w:type="dxa"/>
            <w:shd w:val="clear" w:color="auto" w:fill="1F4E79"/>
          </w:tcPr>
          <w:p w14:paraId="66960608">
            <w:pPr>
              <w:spacing w:after="0" w:line="240" w:lineRule="auto"/>
            </w:pPr>
            <w:r>
              <w:rPr>
                <w:b/>
                <w:color w:val="FFFFFF"/>
                <w:sz w:val="20"/>
              </w:rPr>
              <w:t>CRC high</w:t>
            </w:r>
          </w:p>
        </w:tc>
      </w:tr>
      <w:tr w14:paraId="2916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tcPr>
          <w:p w14:paraId="336BED9D">
            <w:pPr>
              <w:spacing w:after="0" w:line="240" w:lineRule="auto"/>
            </w:pPr>
            <w:r>
              <w:rPr>
                <w:sz w:val="20"/>
              </w:rPr>
              <w:t>0x01</w:t>
            </w:r>
          </w:p>
        </w:tc>
        <w:tc>
          <w:tcPr>
            <w:tcW w:w="1584" w:type="dxa"/>
          </w:tcPr>
          <w:p w14:paraId="05886E48">
            <w:pPr>
              <w:spacing w:after="0" w:line="240" w:lineRule="auto"/>
            </w:pPr>
            <w:r>
              <w:rPr>
                <w:sz w:val="20"/>
              </w:rPr>
              <w:t>0x03</w:t>
            </w:r>
          </w:p>
        </w:tc>
        <w:tc>
          <w:tcPr>
            <w:tcW w:w="1872" w:type="dxa"/>
          </w:tcPr>
          <w:p w14:paraId="37CD975F">
            <w:pPr>
              <w:spacing w:after="0" w:line="240" w:lineRule="auto"/>
            </w:pPr>
            <w:r>
              <w:rPr>
                <w:sz w:val="20"/>
              </w:rPr>
              <w:t>0x00 0x02</w:t>
            </w:r>
          </w:p>
        </w:tc>
        <w:tc>
          <w:tcPr>
            <w:tcW w:w="1584" w:type="dxa"/>
          </w:tcPr>
          <w:p w14:paraId="4E29259D">
            <w:pPr>
              <w:spacing w:after="0" w:line="240" w:lineRule="auto"/>
            </w:pPr>
            <w:r>
              <w:rPr>
                <w:sz w:val="20"/>
              </w:rPr>
              <w:t>0x00 0x01</w:t>
            </w:r>
          </w:p>
        </w:tc>
        <w:tc>
          <w:tcPr>
            <w:tcW w:w="1296" w:type="dxa"/>
          </w:tcPr>
          <w:p w14:paraId="564E18A3">
            <w:pPr>
              <w:spacing w:after="0" w:line="240" w:lineRule="auto"/>
            </w:pPr>
            <w:r>
              <w:rPr>
                <w:sz w:val="20"/>
              </w:rPr>
              <w:t>0x25</w:t>
            </w:r>
          </w:p>
        </w:tc>
        <w:tc>
          <w:tcPr>
            <w:tcW w:w="1296" w:type="dxa"/>
          </w:tcPr>
          <w:p w14:paraId="17E83DF2">
            <w:pPr>
              <w:spacing w:after="0" w:line="240" w:lineRule="auto"/>
            </w:pPr>
            <w:r>
              <w:rPr>
                <w:sz w:val="20"/>
              </w:rPr>
              <w:t>0xCA</w:t>
            </w:r>
          </w:p>
        </w:tc>
      </w:tr>
    </w:tbl>
    <w:p w14:paraId="1901A20E">
      <w:pPr>
        <w:spacing w:after="40"/>
      </w:pPr>
      <w:r>
        <w:rPr>
          <w:b w:val="0"/>
          <w:i w:val="0"/>
        </w:rPr>
        <w:t>Response frame (normal water immersion status):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1584"/>
        <w:gridCol w:w="1296"/>
        <w:gridCol w:w="1728"/>
        <w:gridCol w:w="1296"/>
        <w:gridCol w:w="1296"/>
      </w:tblGrid>
      <w:tr w14:paraId="43C0E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shd w:val="clear" w:color="auto" w:fill="1F4E79"/>
          </w:tcPr>
          <w:p w14:paraId="130467CB">
            <w:pPr>
              <w:spacing w:after="0" w:line="240" w:lineRule="auto"/>
            </w:pPr>
            <w:r>
              <w:rPr>
                <w:b/>
                <w:color w:val="FFFFFF"/>
                <w:sz w:val="20"/>
              </w:rPr>
              <w:t>Address code</w:t>
            </w:r>
          </w:p>
        </w:tc>
        <w:tc>
          <w:tcPr>
            <w:tcW w:w="1584" w:type="dxa"/>
            <w:shd w:val="clear" w:color="auto" w:fill="1F4E79"/>
          </w:tcPr>
          <w:p w14:paraId="687AF738">
            <w:pPr>
              <w:spacing w:after="0" w:line="240" w:lineRule="auto"/>
            </w:pPr>
            <w:r>
              <w:rPr>
                <w:b/>
                <w:color w:val="FFFFFF"/>
                <w:sz w:val="20"/>
              </w:rPr>
              <w:t>Function code</w:t>
            </w:r>
          </w:p>
        </w:tc>
        <w:tc>
          <w:tcPr>
            <w:tcW w:w="1296" w:type="dxa"/>
            <w:shd w:val="clear" w:color="auto" w:fill="1F4E79"/>
          </w:tcPr>
          <w:p w14:paraId="4CB368C1">
            <w:pPr>
              <w:spacing w:after="0" w:line="240" w:lineRule="auto"/>
            </w:pPr>
            <w:r>
              <w:rPr>
                <w:b/>
                <w:color w:val="FFFFFF"/>
                <w:sz w:val="20"/>
              </w:rPr>
              <w:t>Valid bytes</w:t>
            </w:r>
          </w:p>
        </w:tc>
        <w:tc>
          <w:tcPr>
            <w:tcW w:w="1728" w:type="dxa"/>
            <w:shd w:val="clear" w:color="auto" w:fill="1F4E79"/>
          </w:tcPr>
          <w:p w14:paraId="267095B6">
            <w:pPr>
              <w:spacing w:after="0" w:line="240" w:lineRule="auto"/>
            </w:pPr>
            <w:r>
              <w:rPr>
                <w:b/>
                <w:color w:val="FFFFFF"/>
                <w:sz w:val="20"/>
              </w:rPr>
              <w:t>Data area</w:t>
            </w:r>
          </w:p>
        </w:tc>
        <w:tc>
          <w:tcPr>
            <w:tcW w:w="1296" w:type="dxa"/>
            <w:shd w:val="clear" w:color="auto" w:fill="1F4E79"/>
          </w:tcPr>
          <w:p w14:paraId="5CD2CFB6">
            <w:pPr>
              <w:spacing w:after="0" w:line="240" w:lineRule="auto"/>
            </w:pPr>
            <w:r>
              <w:rPr>
                <w:b/>
                <w:color w:val="FFFFFF"/>
                <w:sz w:val="20"/>
              </w:rPr>
              <w:t>CRC low</w:t>
            </w:r>
          </w:p>
        </w:tc>
        <w:tc>
          <w:tcPr>
            <w:tcW w:w="1296" w:type="dxa"/>
            <w:shd w:val="clear" w:color="auto" w:fill="1F4E79"/>
          </w:tcPr>
          <w:p w14:paraId="28E72318">
            <w:pPr>
              <w:spacing w:after="0" w:line="240" w:lineRule="auto"/>
            </w:pPr>
            <w:r>
              <w:rPr>
                <w:b/>
                <w:color w:val="FFFFFF"/>
                <w:sz w:val="20"/>
              </w:rPr>
              <w:t>CRC high</w:t>
            </w:r>
          </w:p>
        </w:tc>
      </w:tr>
      <w:tr w14:paraId="0A4D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tcPr>
          <w:p w14:paraId="5D8D5F3F">
            <w:pPr>
              <w:spacing w:after="0" w:line="240" w:lineRule="auto"/>
            </w:pPr>
            <w:r>
              <w:rPr>
                <w:sz w:val="20"/>
              </w:rPr>
              <w:t>0x01</w:t>
            </w:r>
          </w:p>
        </w:tc>
        <w:tc>
          <w:tcPr>
            <w:tcW w:w="1584" w:type="dxa"/>
          </w:tcPr>
          <w:p w14:paraId="7661E4CF">
            <w:pPr>
              <w:spacing w:after="0" w:line="240" w:lineRule="auto"/>
            </w:pPr>
            <w:r>
              <w:rPr>
                <w:sz w:val="20"/>
              </w:rPr>
              <w:t>0x03</w:t>
            </w:r>
          </w:p>
        </w:tc>
        <w:tc>
          <w:tcPr>
            <w:tcW w:w="1296" w:type="dxa"/>
          </w:tcPr>
          <w:p w14:paraId="5DCC1FC1">
            <w:pPr>
              <w:spacing w:after="0" w:line="240" w:lineRule="auto"/>
            </w:pPr>
            <w:r>
              <w:rPr>
                <w:sz w:val="20"/>
              </w:rPr>
              <w:t>0x02</w:t>
            </w:r>
          </w:p>
        </w:tc>
        <w:tc>
          <w:tcPr>
            <w:tcW w:w="1728" w:type="dxa"/>
          </w:tcPr>
          <w:p w14:paraId="0F839368">
            <w:pPr>
              <w:spacing w:after="0" w:line="240" w:lineRule="auto"/>
            </w:pPr>
            <w:r>
              <w:rPr>
                <w:sz w:val="20"/>
              </w:rPr>
              <w:t>0x00 0x01</w:t>
            </w:r>
          </w:p>
        </w:tc>
        <w:tc>
          <w:tcPr>
            <w:tcW w:w="1296" w:type="dxa"/>
          </w:tcPr>
          <w:p w14:paraId="67128741">
            <w:pPr>
              <w:spacing w:after="0" w:line="240" w:lineRule="auto"/>
            </w:pPr>
            <w:r>
              <w:rPr>
                <w:sz w:val="20"/>
              </w:rPr>
              <w:t>0x79</w:t>
            </w:r>
          </w:p>
        </w:tc>
        <w:tc>
          <w:tcPr>
            <w:tcW w:w="1296" w:type="dxa"/>
          </w:tcPr>
          <w:p w14:paraId="0B74BFB4">
            <w:pPr>
              <w:spacing w:after="0" w:line="240" w:lineRule="auto"/>
            </w:pPr>
            <w:r>
              <w:rPr>
                <w:sz w:val="20"/>
              </w:rPr>
              <w:t>0x84</w:t>
            </w:r>
          </w:p>
        </w:tc>
      </w:tr>
    </w:tbl>
    <w:p w14:paraId="63331521">
      <w:pPr>
        <w:spacing w:after="40"/>
      </w:pPr>
      <w:r>
        <w:rPr>
          <w:b w:val="0"/>
          <w:i w:val="0"/>
        </w:rPr>
        <w:t>Water immersion status description:</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4320"/>
      </w:tblGrid>
      <w:tr w14:paraId="21C3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shd w:val="clear" w:color="auto" w:fill="1F4E79"/>
          </w:tcPr>
          <w:p w14:paraId="43CE26CC">
            <w:pPr>
              <w:spacing w:after="0" w:line="240" w:lineRule="auto"/>
            </w:pPr>
            <w:r>
              <w:rPr>
                <w:b/>
                <w:color w:val="FFFFFF"/>
                <w:sz w:val="20"/>
              </w:rPr>
              <w:t>Status code</w:t>
            </w:r>
          </w:p>
        </w:tc>
        <w:tc>
          <w:tcPr>
            <w:tcW w:w="4320" w:type="dxa"/>
            <w:shd w:val="clear" w:color="auto" w:fill="1F4E79"/>
          </w:tcPr>
          <w:p w14:paraId="4AED1C9B">
            <w:pPr>
              <w:spacing w:after="0" w:line="240" w:lineRule="auto"/>
            </w:pPr>
            <w:r>
              <w:rPr>
                <w:b/>
                <w:color w:val="FFFFFF"/>
                <w:sz w:val="20"/>
              </w:rPr>
              <w:t>Water immersion status</w:t>
            </w:r>
          </w:p>
        </w:tc>
      </w:tr>
      <w:tr w14:paraId="1C88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1576A45F">
            <w:pPr>
              <w:spacing w:after="0" w:line="240" w:lineRule="auto"/>
            </w:pPr>
            <w:r>
              <w:rPr>
                <w:sz w:val="20"/>
              </w:rPr>
              <w:t>0x01</w:t>
            </w:r>
          </w:p>
        </w:tc>
        <w:tc>
          <w:tcPr>
            <w:tcW w:w="4320" w:type="dxa"/>
          </w:tcPr>
          <w:p w14:paraId="3893DFA3">
            <w:pPr>
              <w:spacing w:after="0" w:line="240" w:lineRule="auto"/>
            </w:pPr>
            <w:r>
              <w:rPr>
                <w:sz w:val="20"/>
              </w:rPr>
              <w:t>Normal</w:t>
            </w:r>
          </w:p>
        </w:tc>
      </w:tr>
      <w:tr w14:paraId="65C8E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643BF618">
            <w:pPr>
              <w:spacing w:after="0" w:line="240" w:lineRule="auto"/>
            </w:pPr>
            <w:r>
              <w:rPr>
                <w:sz w:val="20"/>
              </w:rPr>
              <w:t>0x02</w:t>
            </w:r>
          </w:p>
        </w:tc>
        <w:tc>
          <w:tcPr>
            <w:tcW w:w="4320" w:type="dxa"/>
          </w:tcPr>
          <w:p w14:paraId="4164A4D3">
            <w:pPr>
              <w:spacing w:after="0" w:line="240" w:lineRule="auto"/>
            </w:pPr>
            <w:r>
              <w:rPr>
                <w:sz w:val="20"/>
              </w:rPr>
              <w:t>Alarm</w:t>
            </w:r>
          </w:p>
        </w:tc>
      </w:tr>
    </w:tbl>
    <w:p w14:paraId="77919F83"/>
    <w:p w14:paraId="0B62510E">
      <w:pPr>
        <w:spacing w:after="60"/>
      </w:pPr>
      <w:r>
        <w:rPr>
          <w:b/>
          <w:i w:val="0"/>
        </w:rPr>
        <w:t>Example 2: Set water immersion sensitivity (e.g., 300)</w:t>
      </w:r>
    </w:p>
    <w:p w14:paraId="206D205D">
      <w:pPr>
        <w:spacing w:after="40"/>
      </w:pPr>
      <w:r>
        <w:rPr>
          <w:b w:val="0"/>
          <w:i w:val="0"/>
        </w:rPr>
        <w:t>Query frame:</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9"/>
        <w:gridCol w:w="1533"/>
        <w:gridCol w:w="1792"/>
        <w:gridCol w:w="1518"/>
        <w:gridCol w:w="1242"/>
        <w:gridCol w:w="1242"/>
      </w:tblGrid>
      <w:tr w14:paraId="1C41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shd w:val="clear" w:color="auto" w:fill="1F4E79"/>
          </w:tcPr>
          <w:p w14:paraId="62F67180">
            <w:pPr>
              <w:spacing w:after="0" w:line="240" w:lineRule="auto"/>
            </w:pPr>
            <w:r>
              <w:rPr>
                <w:b/>
                <w:color w:val="FFFFFF"/>
                <w:sz w:val="20"/>
              </w:rPr>
              <w:t>Address code</w:t>
            </w:r>
          </w:p>
        </w:tc>
        <w:tc>
          <w:tcPr>
            <w:tcW w:w="1584" w:type="dxa"/>
            <w:shd w:val="clear" w:color="auto" w:fill="1F4E79"/>
          </w:tcPr>
          <w:p w14:paraId="5AC594F2">
            <w:pPr>
              <w:spacing w:after="0" w:line="240" w:lineRule="auto"/>
            </w:pPr>
            <w:r>
              <w:rPr>
                <w:b/>
                <w:color w:val="FFFFFF"/>
                <w:sz w:val="20"/>
              </w:rPr>
              <w:t>Function code</w:t>
            </w:r>
          </w:p>
        </w:tc>
        <w:tc>
          <w:tcPr>
            <w:tcW w:w="1872" w:type="dxa"/>
            <w:shd w:val="clear" w:color="auto" w:fill="1F4E79"/>
          </w:tcPr>
          <w:p w14:paraId="50B90742">
            <w:pPr>
              <w:spacing w:after="0" w:line="240" w:lineRule="auto"/>
            </w:pPr>
            <w:r>
              <w:rPr>
                <w:b/>
                <w:color w:val="FFFFFF"/>
                <w:sz w:val="20"/>
              </w:rPr>
              <w:t>Start address</w:t>
            </w:r>
          </w:p>
        </w:tc>
        <w:tc>
          <w:tcPr>
            <w:tcW w:w="1584" w:type="dxa"/>
            <w:shd w:val="clear" w:color="auto" w:fill="1F4E79"/>
          </w:tcPr>
          <w:p w14:paraId="10CD7098">
            <w:pPr>
              <w:spacing w:after="0" w:line="240" w:lineRule="auto"/>
            </w:pPr>
            <w:r>
              <w:rPr>
                <w:b/>
                <w:color w:val="FFFFFF"/>
                <w:sz w:val="20"/>
              </w:rPr>
              <w:t>Data length</w:t>
            </w:r>
          </w:p>
        </w:tc>
        <w:tc>
          <w:tcPr>
            <w:tcW w:w="1296" w:type="dxa"/>
            <w:shd w:val="clear" w:color="auto" w:fill="1F4E79"/>
          </w:tcPr>
          <w:p w14:paraId="2B50ED34">
            <w:pPr>
              <w:spacing w:after="0" w:line="240" w:lineRule="auto"/>
            </w:pPr>
            <w:r>
              <w:rPr>
                <w:b/>
                <w:color w:val="FFFFFF"/>
                <w:sz w:val="20"/>
              </w:rPr>
              <w:t>CRC low</w:t>
            </w:r>
          </w:p>
        </w:tc>
        <w:tc>
          <w:tcPr>
            <w:tcW w:w="1296" w:type="dxa"/>
            <w:shd w:val="clear" w:color="auto" w:fill="1F4E79"/>
          </w:tcPr>
          <w:p w14:paraId="06854BFA">
            <w:pPr>
              <w:spacing w:after="0" w:line="240" w:lineRule="auto"/>
            </w:pPr>
            <w:r>
              <w:rPr>
                <w:b/>
                <w:color w:val="FFFFFF"/>
                <w:sz w:val="20"/>
              </w:rPr>
              <w:t>CRC high</w:t>
            </w:r>
          </w:p>
        </w:tc>
      </w:tr>
      <w:tr w14:paraId="409D3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tcPr>
          <w:p w14:paraId="78F78325">
            <w:pPr>
              <w:spacing w:after="0" w:line="240" w:lineRule="auto"/>
            </w:pPr>
            <w:r>
              <w:rPr>
                <w:sz w:val="20"/>
              </w:rPr>
              <w:t>0x01</w:t>
            </w:r>
          </w:p>
        </w:tc>
        <w:tc>
          <w:tcPr>
            <w:tcW w:w="1584" w:type="dxa"/>
          </w:tcPr>
          <w:p w14:paraId="72C49104">
            <w:pPr>
              <w:spacing w:after="0" w:line="240" w:lineRule="auto"/>
            </w:pPr>
            <w:r>
              <w:rPr>
                <w:sz w:val="20"/>
              </w:rPr>
              <w:t>0x06</w:t>
            </w:r>
          </w:p>
        </w:tc>
        <w:tc>
          <w:tcPr>
            <w:tcW w:w="1872" w:type="dxa"/>
          </w:tcPr>
          <w:p w14:paraId="515A8595">
            <w:pPr>
              <w:spacing w:after="0" w:line="240" w:lineRule="auto"/>
            </w:pPr>
            <w:r>
              <w:rPr>
                <w:sz w:val="20"/>
              </w:rPr>
              <w:t>0x00 0x34</w:t>
            </w:r>
          </w:p>
        </w:tc>
        <w:tc>
          <w:tcPr>
            <w:tcW w:w="1584" w:type="dxa"/>
          </w:tcPr>
          <w:p w14:paraId="0D6B8AAE">
            <w:pPr>
              <w:spacing w:after="0" w:line="240" w:lineRule="auto"/>
            </w:pPr>
            <w:r>
              <w:rPr>
                <w:sz w:val="20"/>
              </w:rPr>
              <w:t>0x01 0x2C</w:t>
            </w:r>
          </w:p>
        </w:tc>
        <w:tc>
          <w:tcPr>
            <w:tcW w:w="1296" w:type="dxa"/>
          </w:tcPr>
          <w:p w14:paraId="57D3CB4B">
            <w:pPr>
              <w:spacing w:after="0" w:line="240" w:lineRule="auto"/>
            </w:pPr>
            <w:r>
              <w:rPr>
                <w:sz w:val="20"/>
              </w:rPr>
              <w:t>0xC8</w:t>
            </w:r>
          </w:p>
        </w:tc>
        <w:tc>
          <w:tcPr>
            <w:tcW w:w="1296" w:type="dxa"/>
          </w:tcPr>
          <w:p w14:paraId="5A757E8A">
            <w:pPr>
              <w:spacing w:after="0" w:line="240" w:lineRule="auto"/>
            </w:pPr>
            <w:r>
              <w:rPr>
                <w:sz w:val="20"/>
              </w:rPr>
              <w:t>0x49</w:t>
            </w:r>
          </w:p>
        </w:tc>
      </w:tr>
    </w:tbl>
    <w:p w14:paraId="597755BF">
      <w:pPr>
        <w:spacing w:after="40"/>
      </w:pPr>
      <w:r>
        <w:rPr>
          <w:b w:val="0"/>
          <w:i w:val="0"/>
        </w:rPr>
        <w:t>Response frame (current sensitivity = 300):</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1584"/>
        <w:gridCol w:w="1296"/>
        <w:gridCol w:w="1728"/>
        <w:gridCol w:w="1296"/>
        <w:gridCol w:w="1296"/>
      </w:tblGrid>
      <w:tr w14:paraId="5D8C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shd w:val="clear" w:color="auto" w:fill="1F4E79"/>
          </w:tcPr>
          <w:p w14:paraId="0F7B9DAC">
            <w:pPr>
              <w:spacing w:after="0" w:line="240" w:lineRule="auto"/>
            </w:pPr>
            <w:r>
              <w:rPr>
                <w:b/>
                <w:color w:val="FFFFFF"/>
                <w:sz w:val="20"/>
              </w:rPr>
              <w:t>Address code</w:t>
            </w:r>
          </w:p>
        </w:tc>
        <w:tc>
          <w:tcPr>
            <w:tcW w:w="1584" w:type="dxa"/>
            <w:shd w:val="clear" w:color="auto" w:fill="1F4E79"/>
          </w:tcPr>
          <w:p w14:paraId="51F6A9B5">
            <w:pPr>
              <w:spacing w:after="0" w:line="240" w:lineRule="auto"/>
            </w:pPr>
            <w:r>
              <w:rPr>
                <w:b/>
                <w:color w:val="FFFFFF"/>
                <w:sz w:val="20"/>
              </w:rPr>
              <w:t>Function code</w:t>
            </w:r>
          </w:p>
        </w:tc>
        <w:tc>
          <w:tcPr>
            <w:tcW w:w="1296" w:type="dxa"/>
            <w:shd w:val="clear" w:color="auto" w:fill="1F4E79"/>
          </w:tcPr>
          <w:p w14:paraId="79036FC2">
            <w:pPr>
              <w:spacing w:after="0" w:line="240" w:lineRule="auto"/>
            </w:pPr>
            <w:r>
              <w:rPr>
                <w:b/>
                <w:color w:val="FFFFFF"/>
                <w:sz w:val="20"/>
              </w:rPr>
              <w:t>Valid bytes</w:t>
            </w:r>
          </w:p>
        </w:tc>
        <w:tc>
          <w:tcPr>
            <w:tcW w:w="1728" w:type="dxa"/>
            <w:shd w:val="clear" w:color="auto" w:fill="1F4E79"/>
          </w:tcPr>
          <w:p w14:paraId="53AF2BB9">
            <w:pPr>
              <w:spacing w:after="0" w:line="240" w:lineRule="auto"/>
            </w:pPr>
            <w:r>
              <w:rPr>
                <w:b/>
                <w:color w:val="FFFFFF"/>
                <w:sz w:val="20"/>
              </w:rPr>
              <w:t>Data area</w:t>
            </w:r>
          </w:p>
        </w:tc>
        <w:tc>
          <w:tcPr>
            <w:tcW w:w="1296" w:type="dxa"/>
            <w:shd w:val="clear" w:color="auto" w:fill="1F4E79"/>
          </w:tcPr>
          <w:p w14:paraId="24AC9339">
            <w:pPr>
              <w:spacing w:after="0" w:line="240" w:lineRule="auto"/>
            </w:pPr>
            <w:r>
              <w:rPr>
                <w:b/>
                <w:color w:val="FFFFFF"/>
                <w:sz w:val="20"/>
              </w:rPr>
              <w:t>CRC low</w:t>
            </w:r>
          </w:p>
        </w:tc>
        <w:tc>
          <w:tcPr>
            <w:tcW w:w="1296" w:type="dxa"/>
            <w:shd w:val="clear" w:color="auto" w:fill="1F4E79"/>
          </w:tcPr>
          <w:p w14:paraId="605469C4">
            <w:pPr>
              <w:spacing w:after="0" w:line="240" w:lineRule="auto"/>
            </w:pPr>
            <w:r>
              <w:rPr>
                <w:b/>
                <w:color w:val="FFFFFF"/>
                <w:sz w:val="20"/>
              </w:rPr>
              <w:t>CRC high</w:t>
            </w:r>
          </w:p>
        </w:tc>
      </w:tr>
      <w:tr w14:paraId="14F20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4" w:type="dxa"/>
          </w:tcPr>
          <w:p w14:paraId="019A8CBD">
            <w:pPr>
              <w:spacing w:after="0" w:line="240" w:lineRule="auto"/>
            </w:pPr>
            <w:r>
              <w:rPr>
                <w:sz w:val="20"/>
              </w:rPr>
              <w:t>0x01</w:t>
            </w:r>
          </w:p>
        </w:tc>
        <w:tc>
          <w:tcPr>
            <w:tcW w:w="1584" w:type="dxa"/>
          </w:tcPr>
          <w:p w14:paraId="72B8DA61">
            <w:pPr>
              <w:spacing w:after="0" w:line="240" w:lineRule="auto"/>
            </w:pPr>
            <w:r>
              <w:rPr>
                <w:sz w:val="20"/>
              </w:rPr>
              <w:t>0x06</w:t>
            </w:r>
          </w:p>
        </w:tc>
        <w:tc>
          <w:tcPr>
            <w:tcW w:w="1296" w:type="dxa"/>
          </w:tcPr>
          <w:p w14:paraId="67F67C01">
            <w:pPr>
              <w:spacing w:after="0" w:line="240" w:lineRule="auto"/>
            </w:pPr>
            <w:r>
              <w:rPr>
                <w:sz w:val="20"/>
              </w:rPr>
              <w:t>0x00 0x34</w:t>
            </w:r>
          </w:p>
        </w:tc>
        <w:tc>
          <w:tcPr>
            <w:tcW w:w="1728" w:type="dxa"/>
          </w:tcPr>
          <w:p w14:paraId="27A9AFBE">
            <w:pPr>
              <w:spacing w:after="0" w:line="240" w:lineRule="auto"/>
            </w:pPr>
            <w:r>
              <w:rPr>
                <w:sz w:val="20"/>
              </w:rPr>
              <w:t>0x01 0x2C</w:t>
            </w:r>
          </w:p>
        </w:tc>
        <w:tc>
          <w:tcPr>
            <w:tcW w:w="1296" w:type="dxa"/>
          </w:tcPr>
          <w:p w14:paraId="70963C0C">
            <w:pPr>
              <w:spacing w:after="0" w:line="240" w:lineRule="auto"/>
            </w:pPr>
            <w:r>
              <w:rPr>
                <w:sz w:val="20"/>
              </w:rPr>
              <w:t>0xC8</w:t>
            </w:r>
          </w:p>
        </w:tc>
        <w:tc>
          <w:tcPr>
            <w:tcW w:w="1296" w:type="dxa"/>
          </w:tcPr>
          <w:p w14:paraId="2F28A5B9">
            <w:pPr>
              <w:spacing w:after="0" w:line="240" w:lineRule="auto"/>
            </w:pPr>
            <w:r>
              <w:rPr>
                <w:sz w:val="20"/>
              </w:rPr>
              <w:t>0x49</w:t>
            </w:r>
          </w:p>
        </w:tc>
      </w:tr>
    </w:tbl>
    <w:p w14:paraId="06E6616D">
      <w:pPr>
        <w:spacing w:after="40"/>
      </w:pPr>
      <w:r>
        <w:rPr>
          <w:b w:val="0"/>
          <w:i w:val="0"/>
        </w:rPr>
        <w:t>Sensitivity setting note:</w:t>
      </w:r>
    </w:p>
    <w:p w14:paraId="397216D2">
      <w:pPr>
        <w:spacing w:after="120"/>
      </w:pPr>
      <w:r>
        <w:rPr>
          <w:b w:val="0"/>
          <w:i w:val="0"/>
        </w:rPr>
        <w:t>The sensitivity value is inversely proportional to the actual sensitivity: the larger the set value, the less sensitive the detection; the smaller the value, the more sensitive the detection. Note, however, that too small a sensitivity value can easily cause false alarms; it is recommended to use the factory default value.</w:t>
      </w:r>
    </w:p>
    <w:p w14:paraId="6D07D48C">
      <w:pPr>
        <w:pStyle w:val="16"/>
        <w:spacing w:after="60"/>
      </w:pPr>
      <w:r>
        <w:t>Default value: 102</w:t>
      </w:r>
    </w:p>
    <w:p w14:paraId="1925CBC6">
      <w:pPr>
        <w:pStyle w:val="16"/>
        <w:spacing w:after="60"/>
      </w:pPr>
      <w:r>
        <w:t>Range: 0–1024</w:t>
      </w:r>
    </w:p>
    <w:p w14:paraId="7895C3D2">
      <w:pPr>
        <w:pStyle w:val="3"/>
      </w:pPr>
      <w:r>
        <w:t>Chapter 5  FAQ and Troubleshooting</w:t>
      </w:r>
    </w:p>
    <w:p w14:paraId="16CD23BE">
      <w:pPr>
        <w:spacing w:after="60"/>
      </w:pPr>
      <w:r>
        <w:rPr>
          <w:b/>
          <w:i w:val="0"/>
        </w:rPr>
        <w:t>No output or incorrect output</w:t>
      </w:r>
    </w:p>
    <w:p w14:paraId="384A577B">
      <w:pPr>
        <w:spacing w:after="60"/>
      </w:pPr>
      <w:r>
        <w:rPr>
          <w:b w:val="0"/>
          <w:i w:val="0"/>
        </w:rPr>
        <w:t>Possible causes:</w:t>
      </w:r>
    </w:p>
    <w:p w14:paraId="23C011A7">
      <w:pPr>
        <w:pStyle w:val="14"/>
        <w:spacing w:after="60"/>
      </w:pPr>
      <w:r>
        <w:t>The computer has a COM port, but the selected port is incorrect.</w:t>
      </w:r>
    </w:p>
    <w:p w14:paraId="5FADA153">
      <w:pPr>
        <w:pStyle w:val="14"/>
        <w:spacing w:after="60"/>
      </w:pPr>
      <w:r>
        <w:t>Incorrect baud rate.</w:t>
      </w:r>
    </w:p>
    <w:p w14:paraId="72515A4A">
      <w:pPr>
        <w:pStyle w:val="14"/>
        <w:spacing w:after="60"/>
      </w:pPr>
      <w:r>
        <w:t>The 485 bus is disconnected, or the A and B wires are reversed.</w:t>
      </w:r>
    </w:p>
    <w:p w14:paraId="30F443D6">
      <w:pPr>
        <w:pStyle w:val="14"/>
        <w:spacing w:after="60"/>
      </w:pPr>
      <w:r>
        <w:t>Too many devices or wiring too long; supply power locally, add a 485 repeater, and add a 120 Ω termination resistor.</w:t>
      </w:r>
    </w:p>
    <w:p w14:paraId="657A08A5">
      <w:pPr>
        <w:pStyle w:val="14"/>
        <w:spacing w:after="60"/>
      </w:pPr>
      <w:r>
        <w:t>The USB-to-485 driver is not installed or is damaged.</w:t>
      </w:r>
    </w:p>
    <w:p w14:paraId="195C93A2">
      <w:pPr>
        <w:pStyle w:val="14"/>
        <w:spacing w:after="60"/>
      </w:pPr>
      <w:r>
        <w:t>Device damage.</w:t>
      </w:r>
    </w:p>
    <w:p w14:paraId="120145F2">
      <w:pPr>
        <w:pStyle w:val="3"/>
      </w:pPr>
      <w:r>
        <w:t>Chapter 6  Precautions</w:t>
      </w:r>
    </w:p>
    <w:p w14:paraId="57937C03">
      <w:r>
        <w:rPr>
          <w:b/>
          <w:color w:val="C00000"/>
        </w:rPr>
        <w:t>WARNING: Risk of personal injury</w:t>
      </w:r>
    </w:p>
    <w:p w14:paraId="42AE54E8">
      <w:pPr>
        <w:spacing w:after="120"/>
      </w:pPr>
      <w:r>
        <w:rPr>
          <w:b w:val="0"/>
          <w:i w:val="0"/>
        </w:rPr>
        <w:t>It is strictly forbidden to use this device as a safety device, an emergency-stop device, or in any situation where device failure could lead to personal injury.</w:t>
      </w:r>
    </w:p>
    <w:p w14:paraId="484ADF20">
      <w:pPr>
        <w:spacing w:after="60"/>
      </w:pPr>
      <w:r>
        <w:rPr>
          <w:b/>
          <w:i w:val="0"/>
        </w:rPr>
        <w:t>Usage restrictions</w:t>
      </w:r>
    </w:p>
    <w:p w14:paraId="09270A17">
      <w:pPr>
        <w:spacing w:after="120"/>
      </w:pPr>
      <w:r>
        <w:rPr>
          <w:b w:val="0"/>
          <w:i w:val="0"/>
        </w:rPr>
        <w:t>This device is for use only within its designed purpose and authorized scope.</w:t>
      </w:r>
    </w:p>
    <w:p w14:paraId="4CC76A5E">
      <w:pPr>
        <w:spacing w:after="120"/>
      </w:pPr>
      <w:r>
        <w:rPr>
          <w:b w:val="0"/>
          <w:i w:val="0"/>
        </w:rPr>
        <w:t>Before installation, operation, or maintenance, the relevant instructions in the technical manual must be read and understood carefully.</w:t>
      </w:r>
    </w:p>
    <w:p w14:paraId="170B3121">
      <w:pPr>
        <w:spacing w:after="120"/>
      </w:pPr>
      <w:r>
        <w:rPr>
          <w:b w:val="0"/>
          <w:i w:val="0"/>
        </w:rPr>
        <w:t>Failure to observe the above warnings and guidelines may result in death or serious personal injury.</w:t>
      </w:r>
    </w:p>
    <w:p w14:paraId="219228C4">
      <w:pPr>
        <w:spacing w:after="120"/>
      </w:pPr>
      <w:r>
        <w:rPr>
          <w:b w:val="0"/>
          <w:i w:val="0"/>
        </w:rPr>
        <w:t>Note: if used together with our water immersion cable, the 3M adhesive sheets for the cable's matching buckles are shipped separately. Before use, stick the 3M sheet onto the buckle first, then proceed with the water immersion cable installation.</w:t>
      </w:r>
    </w:p>
    <w:p w14:paraId="1327013F">
      <w:pPr>
        <w:pStyle w:val="3"/>
      </w:pPr>
      <w:r>
        <w:t>Chapter 7  Warranty</w:t>
      </w:r>
    </w:p>
    <w:p w14:paraId="63762C38">
      <w:pPr>
        <w:spacing w:after="120"/>
      </w:pPr>
      <w:r>
        <w:rPr>
          <w:b w:val="0"/>
          <w:i w:val="0"/>
        </w:rPr>
        <w:t>This product enjoys a 12-month warranty from the date of purchase (subject to a valid proof of purchase). Within the warranty period, under normal use and maintenance, if a fault is caused by product material or workmanship defects and confirmed by our company's inspection, we will provide free repair or parts-replacement service (note: the circuit board carries a 24-month warranty, and the water immersion cable carries a 6-month warranty). After the warranty period expires, we will still provide you with lifetime paid repair service.</w:t>
      </w:r>
    </w:p>
    <w:p w14:paraId="3C5F0FD3">
      <w:pPr>
        <w:spacing w:after="60"/>
      </w:pPr>
      <w:r>
        <w:rPr>
          <w:b/>
          <w:i w:val="0"/>
        </w:rPr>
        <w:t>The following cases are not covered by the warranty:</w:t>
      </w:r>
    </w:p>
    <w:p w14:paraId="70011E54">
      <w:pPr>
        <w:pStyle w:val="14"/>
        <w:spacing w:after="60"/>
      </w:pPr>
      <w:r>
        <w:t>Damage caused by incorrect installation or operation.</w:t>
      </w:r>
    </w:p>
    <w:p w14:paraId="25E439E6">
      <w:pPr>
        <w:pStyle w:val="14"/>
        <w:spacing w:after="60"/>
      </w:pPr>
      <w:r>
        <w:t>Having been disassembled, repaired, modified, or altered by non-company technical personnel, or any component replaced by the user.</w:t>
      </w:r>
    </w:p>
    <w:p w14:paraId="355CB52A">
      <w:pPr>
        <w:pStyle w:val="14"/>
        <w:spacing w:after="60"/>
      </w:pPr>
      <w:r>
        <w:t>Damage caused by negligent use or by water or other substances entering the device.</w:t>
      </w:r>
    </w:p>
    <w:p w14:paraId="1B0F8AF7">
      <w:pPr>
        <w:pStyle w:val="14"/>
        <w:spacing w:after="60"/>
      </w:pPr>
      <w:r>
        <w:t>Faults or damage caused by accidents or natural disasters.</w:t>
      </w:r>
    </w:p>
    <w:p w14:paraId="5E65A881">
      <w:pPr>
        <w:pStyle w:val="14"/>
        <w:spacing w:after="60"/>
      </w:pPr>
      <w:r>
        <w:t>Faults or damage caused by exceeding the working-parameter ranges listed in the product parameters.</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CBA4A07"/>
    <w:rsid w:val="473B0DFC"/>
    <w:rsid w:val="59414F9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宋体"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351</Words>
  <Characters>2494</Characters>
  <Lines>0</Lines>
  <Paragraphs>0</Paragraphs>
  <TotalTime>0</TotalTime>
  <ScaleCrop>false</ScaleCrop>
  <LinksUpToDate>false</LinksUpToDate>
  <CharactersWithSpaces>2878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小桃子</cp:lastModifiedBy>
  <dcterms:modified xsi:type="dcterms:W3CDTF">2026-09-12T04:58:31Z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eyJoZGlkIjoiNGFiZjgxZjNiY2I2ZmJmMzAzZjY1Y2QxMzA2ZGFhZmMiLCJ1c2VySWQiOiI0MDE2MjQyODcifQ==</vt:lpwstr>
  </property>
  <property fmtid="{D5CDD505-2E9C-101B-9397-08002B2CF9AE}" pid="3" name="KSOProductBuildVer">
    <vt:lpwstr>2052-12.1.0.28505</vt:lpwstr>
  </property>
  <property fmtid="{D5CDD505-2E9C-101B-9397-08002B2CF9AE}" pid="4" name="ICV">
    <vt:lpwstr>B7B0DBFD48134E59BBA60856C29E426F_13</vt:lpwstr>
  </property>
</Properties>
</file>